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23A19">
      <w:pPr>
        <w:pStyle w:val="2"/>
        <w:keepNext/>
        <w:keepLines/>
        <w:pageBreakBefore w:val="0"/>
        <w:widowControl w:val="0"/>
        <w:kinsoku/>
        <w:wordWrap/>
        <w:overflowPunct/>
        <w:topLinePunct w:val="0"/>
        <w:autoSpaceDE/>
        <w:autoSpaceDN/>
        <w:bidi w:val="0"/>
        <w:adjustRightInd/>
        <w:snapToGrid/>
        <w:spacing w:before="0" w:after="0"/>
        <w:textAlignment w:val="auto"/>
        <w:rPr>
          <w:rFonts w:hint="default" w:ascii="Times New Roman" w:hAnsi="Times New Roman" w:eastAsia="方正黑体简体" w:cs="Times New Roman"/>
          <w:b w:val="0"/>
          <w:bCs/>
          <w:sz w:val="32"/>
          <w:szCs w:val="32"/>
          <w:lang w:val="en-US" w:eastAsia="zh-CN"/>
        </w:rPr>
      </w:pPr>
      <w:r>
        <w:rPr>
          <w:rFonts w:hint="default" w:ascii="Times New Roman" w:hAnsi="Times New Roman" w:eastAsia="方正黑体简体" w:cs="Times New Roman"/>
          <w:b w:val="0"/>
          <w:bCs/>
          <w:sz w:val="32"/>
          <w:szCs w:val="32"/>
          <w:lang w:val="en-US" w:eastAsia="zh-CN"/>
        </w:rPr>
        <w:t>附件13</w:t>
      </w:r>
    </w:p>
    <w:p w14:paraId="388D0B37">
      <w:pPr>
        <w:pStyle w:val="2"/>
        <w:keepNext/>
        <w:keepLines/>
        <w:pageBreakBefore w:val="0"/>
        <w:widowControl w:val="0"/>
        <w:kinsoku/>
        <w:wordWrap/>
        <w:overflowPunct/>
        <w:topLinePunct w:val="0"/>
        <w:autoSpaceDE/>
        <w:autoSpaceDN/>
        <w:bidi w:val="0"/>
        <w:adjustRightInd/>
        <w:snapToGrid/>
        <w:spacing w:before="0" w:after="0"/>
        <w:jc w:val="center"/>
        <w:textAlignment w:val="auto"/>
        <w:rPr>
          <w:rFonts w:hint="eastAsia" w:ascii="Times New Roman" w:hAnsi="Times New Roman" w:eastAsia="方正小标宋简体"/>
          <w:sz w:val="44"/>
          <w:szCs w:val="44"/>
          <w:lang w:val="en-US" w:eastAsia="zh-CN"/>
        </w:rPr>
      </w:pPr>
      <w:r>
        <w:rPr>
          <w:rFonts w:hint="default" w:ascii="Times New Roman" w:hAnsi="Times New Roman" w:eastAsia="方正小标宋简体" w:cs="Times New Roman"/>
          <w:b w:val="0"/>
          <w:bCs/>
          <w:lang w:eastAsia="zh-CN"/>
        </w:rPr>
        <w:t>达州市通川区</w:t>
      </w:r>
      <w:r>
        <w:rPr>
          <w:rFonts w:hint="default" w:ascii="Times New Roman" w:hAnsi="Times New Roman" w:eastAsia="方正小标宋简体" w:cs="Times New Roman"/>
          <w:b w:val="0"/>
          <w:bCs/>
          <w:lang w:val="en-US" w:eastAsia="zh-CN"/>
        </w:rPr>
        <w:t>江陵镇人民政府</w:t>
      </w:r>
      <w:r>
        <w:rPr>
          <w:rFonts w:hint="default" w:ascii="Times New Roman" w:hAnsi="Times New Roman" w:eastAsia="方正小标宋简体" w:cs="Times New Roman"/>
          <w:b w:val="0"/>
          <w:bCs/>
        </w:rPr>
        <w:t>行政执法事项目录清单</w:t>
      </w:r>
      <w:bookmarkStart w:id="0" w:name="_GoBack"/>
      <w:bookmarkEnd w:id="0"/>
    </w:p>
    <w:tbl>
      <w:tblPr>
        <w:tblStyle w:val="7"/>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4"/>
        <w:gridCol w:w="5808"/>
        <w:gridCol w:w="1164"/>
        <w:gridCol w:w="3882"/>
        <w:gridCol w:w="1034"/>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494"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序号</w:t>
            </w:r>
          </w:p>
        </w:tc>
        <w:tc>
          <w:tcPr>
            <w:tcW w:w="5808"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事项名称</w:t>
            </w:r>
          </w:p>
        </w:tc>
        <w:tc>
          <w:tcPr>
            <w:tcW w:w="1164"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事项类型</w:t>
            </w:r>
          </w:p>
        </w:tc>
        <w:tc>
          <w:tcPr>
            <w:tcW w:w="3882"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执法依据</w:t>
            </w:r>
          </w:p>
        </w:tc>
        <w:tc>
          <w:tcPr>
            <w:tcW w:w="1034"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494" w:type="dxa"/>
            <w:noWrap w:val="0"/>
            <w:vAlign w:val="center"/>
          </w:tcPr>
          <w:p w14:paraId="28BC34B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C49576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164" w:type="dxa"/>
            <w:noWrap w:val="0"/>
            <w:vAlign w:val="center"/>
          </w:tcPr>
          <w:p w14:paraId="5233E74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9F4557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《四川省城乡规划条例》第八十四条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034" w:type="dxa"/>
            <w:noWrap w:val="0"/>
            <w:vAlign w:val="center"/>
          </w:tcPr>
          <w:p w14:paraId="2D5D0FA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5B409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79B7E2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494" w:type="dxa"/>
            <w:noWrap w:val="0"/>
            <w:vAlign w:val="center"/>
          </w:tcPr>
          <w:p w14:paraId="2BED6275">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D85F6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highlight w:val="none"/>
                <w:u w:val="none"/>
              </w:rPr>
              <w:t>对在村庄、集镇规划区内，村民未经批准或者违反村镇规划修建住宅的处罚</w:t>
            </w:r>
          </w:p>
        </w:tc>
        <w:tc>
          <w:tcPr>
            <w:tcW w:w="1164" w:type="dxa"/>
            <w:noWrap w:val="0"/>
            <w:vAlign w:val="center"/>
          </w:tcPr>
          <w:p w14:paraId="63921C9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32D69C8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《村庄和集镇规划建设管理条例》第三十七条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19E22E8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034"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AADE19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668113A">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highlight w:val="none"/>
                <w:u w:val="none"/>
              </w:rPr>
              <w:t>对擅自在村庄、集镇规划区内的街道、广场、市场和车站等场所以及道路两旁修建临时建筑物、构筑物和其他设施的处罚</w:t>
            </w:r>
          </w:p>
        </w:tc>
        <w:tc>
          <w:tcPr>
            <w:tcW w:w="1164" w:type="dxa"/>
            <w:noWrap w:val="0"/>
            <w:vAlign w:val="center"/>
          </w:tcPr>
          <w:p w14:paraId="0ED9074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6C5A4CE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《村庄和集镇规划建设管理条例》第四十条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擅自在村庄、集镇规划区内的街道、广场、市场和车站等场所修建临时建筑物、构筑物和其他设施的，由乡级人民政府责令限期拆除，并可处以罚款。</w:t>
            </w:r>
          </w:p>
          <w:p w14:paraId="44F915D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034"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FEEA92F">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F5C46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对损坏村庄和集镇的房屋、公共设施；乱堆粪便、垃圾、柴草、杂物，破坏村容镇貌和环境卫生的处罚</w:t>
            </w:r>
          </w:p>
        </w:tc>
        <w:tc>
          <w:tcPr>
            <w:tcW w:w="1164" w:type="dxa"/>
            <w:noWrap w:val="0"/>
            <w:vAlign w:val="center"/>
          </w:tcPr>
          <w:p w14:paraId="372FA01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A37FD3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7DFC056A">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《四川省村镇规划建设管理条例》第四十六条</w:t>
            </w:r>
            <w:r>
              <w:rPr>
                <w:rFonts w:hint="default" w:ascii="Times New Roman" w:hAnsi="Times New Roman" w:eastAsia="方正仿宋简体" w:cs="Times New Roman"/>
                <w:color w:val="auto"/>
                <w:sz w:val="24"/>
                <w:szCs w:val="24"/>
                <w:highlight w:val="none"/>
                <w:u w:val="none"/>
              </w:rPr>
              <w:t xml:space="preserve">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034"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0A48EB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9292AC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对自用船舶所有人拒不进行自用船舶登记或者自用船舶不按照限定区域航行；超载、非法载客和从事营业性运输的处罚</w:t>
            </w:r>
          </w:p>
        </w:tc>
        <w:tc>
          <w:tcPr>
            <w:tcW w:w="1164" w:type="dxa"/>
            <w:noWrap w:val="0"/>
            <w:vAlign w:val="center"/>
          </w:tcPr>
          <w:p w14:paraId="43B72EB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E97D9E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《四川省水上交通安全管理条例》第五十九条第二款 </w:t>
            </w:r>
            <w:r>
              <w:rPr>
                <w:rFonts w:hint="default" w:ascii="Times New Roman" w:hAnsi="Times New Roman" w:eastAsia="方正仿宋简体" w:cs="Times New Roman"/>
                <w:color w:val="auto"/>
                <w:sz w:val="24"/>
                <w:szCs w:val="24"/>
                <w:highlight w:val="none"/>
                <w:u w:val="none"/>
              </w:rPr>
              <w:t>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034"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F5E69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1B16B1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对单位和个人损坏或者擅自移动有钉螺地带警示标志的处罚</w:t>
            </w:r>
          </w:p>
        </w:tc>
        <w:tc>
          <w:tcPr>
            <w:tcW w:w="1164" w:type="dxa"/>
            <w:noWrap w:val="0"/>
            <w:vAlign w:val="center"/>
          </w:tcPr>
          <w:p w14:paraId="368BDBF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28635B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《血吸虫病防治条例》五十一条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color w:val="auto"/>
                <w:spacing w:val="-6"/>
                <w:sz w:val="24"/>
                <w:szCs w:val="24"/>
                <w:highlight w:val="none"/>
                <w:u w:val="none"/>
              </w:rPr>
              <w:t>单位处1000元以上3000元以下的罚款；对个人处50元以上200元以下的罚款。</w:t>
            </w:r>
          </w:p>
        </w:tc>
        <w:tc>
          <w:tcPr>
            <w:tcW w:w="1034"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2FC0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6B1E20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200797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pacing w:val="-11"/>
                <w:sz w:val="24"/>
                <w:szCs w:val="24"/>
              </w:rPr>
              <w:t>对城乡环境综合治理责任人不履行义务，责任区的容貌秩序、环境卫生未达</w:t>
            </w:r>
            <w:r>
              <w:rPr>
                <w:rFonts w:hint="default" w:ascii="Times New Roman" w:hAnsi="Times New Roman" w:eastAsia="方正仿宋简体" w:cs="Times New Roman"/>
                <w:color w:val="auto"/>
                <w:spacing w:val="-10"/>
                <w:sz w:val="24"/>
                <w:szCs w:val="24"/>
              </w:rPr>
              <w:t>到有关标准的行政处罚</w:t>
            </w:r>
          </w:p>
        </w:tc>
        <w:tc>
          <w:tcPr>
            <w:tcW w:w="1164" w:type="dxa"/>
            <w:noWrap w:val="0"/>
            <w:vAlign w:val="center"/>
          </w:tcPr>
          <w:p w14:paraId="44C2198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8AB8E8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《四川省城乡环境综合治理条例》第六十四条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城乡环境综合治理责任人不履</w:t>
            </w:r>
            <w:r>
              <w:rPr>
                <w:rFonts w:hint="default" w:ascii="Times New Roman" w:hAnsi="Times New Roman" w:eastAsia="方正仿宋简体" w:cs="Times New Roman"/>
                <w:color w:val="auto"/>
                <w:spacing w:val="-1"/>
                <w:sz w:val="24"/>
                <w:szCs w:val="24"/>
              </w:rPr>
              <w:t>行义务，责任区的容貌秩序、环境卫生未达</w:t>
            </w:r>
            <w:r>
              <w:rPr>
                <w:rFonts w:hint="default" w:ascii="Times New Roman" w:hAnsi="Times New Roman" w:eastAsia="方正仿宋简体" w:cs="Times New Roman"/>
                <w:color w:val="auto"/>
                <w:sz w:val="24"/>
                <w:szCs w:val="24"/>
              </w:rPr>
              <w:t xml:space="preserve"> 到有关标准的，予以警告，责令改正</w:t>
            </w:r>
            <w:r>
              <w:rPr>
                <w:rFonts w:hint="default" w:ascii="Times New Roman" w:hAnsi="Times New Roman" w:eastAsia="方正仿宋简体" w:cs="Times New Roman"/>
                <w:color w:val="auto"/>
                <w:position w:val="9"/>
                <w:sz w:val="24"/>
                <w:szCs w:val="24"/>
              </w:rPr>
              <w:t>；</w:t>
            </w:r>
            <w:r>
              <w:rPr>
                <w:rFonts w:hint="default" w:ascii="Times New Roman" w:hAnsi="Times New Roman" w:eastAsia="方正仿宋简体" w:cs="Times New Roman"/>
                <w:color w:val="auto"/>
                <w:spacing w:val="-14"/>
                <w:position w:val="9"/>
                <w:sz w:val="24"/>
                <w:szCs w:val="24"/>
              </w:rPr>
              <w:t xml:space="preserve"> </w:t>
            </w:r>
            <w:r>
              <w:rPr>
                <w:rFonts w:hint="default" w:ascii="Times New Roman" w:hAnsi="Times New Roman" w:eastAsia="方正仿宋简体" w:cs="Times New Roman"/>
                <w:color w:val="auto"/>
                <w:sz w:val="24"/>
                <w:szCs w:val="24"/>
              </w:rPr>
              <w:t>拒不改正的，可以</w:t>
            </w:r>
            <w:r>
              <w:rPr>
                <w:rFonts w:hint="default" w:ascii="Times New Roman" w:hAnsi="Times New Roman" w:eastAsia="方正仿宋简体" w:cs="Times New Roman"/>
                <w:color w:val="auto"/>
                <w:spacing w:val="-1"/>
                <w:sz w:val="24"/>
                <w:szCs w:val="24"/>
              </w:rPr>
              <w:t>对个人处一百元以上二百元以下罚款，对单位处五百元以上二千元以下罚款，或者建议其上级主管部门对直接责任人及其主管人员给予处分。</w:t>
            </w:r>
          </w:p>
          <w:p w14:paraId="571448F8">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号）中“基本清单”的行政处罚第</w:t>
            </w:r>
            <w:r>
              <w:rPr>
                <w:rFonts w:hint="eastAsia" w:ascii="Times New Roman" w:hAnsi="Times New Roman" w:eastAsia="方正仿宋简体" w:cs="Times New Roman"/>
                <w:color w:val="auto"/>
                <w:spacing w:val="-1"/>
                <w:sz w:val="24"/>
                <w:szCs w:val="24"/>
                <w:lang w:val="en-US" w:eastAsia="zh-CN"/>
              </w:rPr>
              <w:t>2项</w:t>
            </w:r>
          </w:p>
          <w:p w14:paraId="73054BB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江陵镇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71项</w:t>
            </w:r>
          </w:p>
        </w:tc>
        <w:tc>
          <w:tcPr>
            <w:tcW w:w="1034" w:type="dxa"/>
            <w:noWrap w:val="0"/>
            <w:vAlign w:val="center"/>
          </w:tcPr>
          <w:p w14:paraId="50EBF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77E02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E85235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308C0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p>
        </w:tc>
      </w:tr>
      <w:tr w14:paraId="7469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E7B5EF9">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2E715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1"/>
                <w:sz w:val="24"/>
                <w:szCs w:val="24"/>
              </w:rPr>
            </w:pPr>
            <w:r>
              <w:rPr>
                <w:rFonts w:hint="default" w:ascii="Times New Roman" w:hAnsi="Times New Roman" w:eastAsia="方正仿宋简体" w:cs="Times New Roman"/>
                <w:color w:val="auto"/>
                <w:spacing w:val="-2"/>
                <w:sz w:val="24"/>
                <w:szCs w:val="24"/>
              </w:rPr>
              <w:t>对损坏各类环境卫生设施及附属设施的行政处</w:t>
            </w:r>
            <w:r>
              <w:rPr>
                <w:rFonts w:hint="default" w:ascii="Times New Roman" w:hAnsi="Times New Roman" w:eastAsia="方正仿宋简体" w:cs="Times New Roman"/>
                <w:color w:val="auto"/>
                <w:sz w:val="24"/>
                <w:szCs w:val="24"/>
              </w:rPr>
              <w:t>罚</w:t>
            </w:r>
          </w:p>
        </w:tc>
        <w:tc>
          <w:tcPr>
            <w:tcW w:w="1164" w:type="dxa"/>
            <w:noWrap w:val="0"/>
            <w:vAlign w:val="center"/>
          </w:tcPr>
          <w:p w14:paraId="1954E5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1807ED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《城市市容和环境卫生管理条例》第三十八条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损坏各类环境卫生设施及其附</w:t>
            </w:r>
            <w:r>
              <w:rPr>
                <w:rFonts w:hint="default" w:ascii="Times New Roman" w:hAnsi="Times New Roman" w:eastAsia="方正仿宋简体" w:cs="Times New Roman"/>
                <w:color w:val="auto"/>
                <w:spacing w:val="-1"/>
                <w:sz w:val="24"/>
                <w:szCs w:val="24"/>
              </w:rPr>
              <w:t>属设施的，城市人民政府市容环境卫生行政主管部门或者其委托的单位除责令其恢复原状外，可以并处罚款；盗窃、损坏各类环境卫生设施及其附属设施，应当给</w:t>
            </w:r>
            <w:r>
              <w:rPr>
                <w:rFonts w:hint="default" w:ascii="Times New Roman" w:hAnsi="Times New Roman" w:eastAsia="方正仿宋简体" w:cs="Times New Roman"/>
                <w:color w:val="auto"/>
                <w:sz w:val="24"/>
                <w:szCs w:val="24"/>
              </w:rPr>
              <w:t>予治安管理处罚的，依照《中华人民共和国治安管理处罚条例》的</w:t>
            </w:r>
            <w:r>
              <w:rPr>
                <w:rFonts w:hint="default" w:ascii="Times New Roman" w:hAnsi="Times New Roman" w:eastAsia="方正仿宋简体" w:cs="Times New Roman"/>
                <w:color w:val="auto"/>
                <w:spacing w:val="-1"/>
                <w:sz w:val="24"/>
                <w:szCs w:val="24"/>
              </w:rPr>
              <w:t>规定处罚；构成犯罪的，依法追究刑事责任。</w:t>
            </w:r>
          </w:p>
          <w:p w14:paraId="4ACC78B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4项</w:t>
            </w:r>
          </w:p>
        </w:tc>
        <w:tc>
          <w:tcPr>
            <w:tcW w:w="1034" w:type="dxa"/>
            <w:noWrap w:val="0"/>
            <w:vAlign w:val="center"/>
          </w:tcPr>
          <w:p w14:paraId="5102B2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AA0A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9E489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205E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12A9B7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7FCDAD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对违反摊点卫生管理规定的行政处罚</w:t>
            </w:r>
          </w:p>
        </w:tc>
        <w:tc>
          <w:tcPr>
            <w:tcW w:w="1164" w:type="dxa"/>
            <w:noWrap w:val="0"/>
            <w:vAlign w:val="center"/>
          </w:tcPr>
          <w:p w14:paraId="4F972EE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846DFD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《四川省城乡环境综合治理条例》第三十七条第二款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集贸市场内的经营者应</w:t>
            </w:r>
            <w:r>
              <w:rPr>
                <w:rFonts w:hint="default" w:ascii="Times New Roman" w:hAnsi="Times New Roman" w:eastAsia="方正仿宋简体" w:cs="Times New Roman"/>
                <w:color w:val="auto"/>
                <w:spacing w:val="-1"/>
                <w:sz w:val="24"/>
                <w:szCs w:val="24"/>
              </w:rPr>
              <w:t>当保持摊位和经营场所的整洁。餐饮、农产</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品等易产生垃圾的摊位应当配置垃圾收集容器，保持摊点干净和卫生。</w:t>
            </w:r>
          </w:p>
          <w:p w14:paraId="063B733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第三十八条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早市、夜市、摊区、临时农副产品市场应当定时定点经营，保持摊位整洁，收市时应当将垃圾、污渍清理干</w:t>
            </w:r>
            <w:r>
              <w:rPr>
                <w:rFonts w:hint="default" w:ascii="Times New Roman" w:hAnsi="Times New Roman" w:eastAsia="方正仿宋简体" w:cs="Times New Roman"/>
                <w:color w:val="auto"/>
                <w:spacing w:val="6"/>
                <w:sz w:val="24"/>
                <w:szCs w:val="24"/>
              </w:rPr>
              <w:t xml:space="preserve"> </w:t>
            </w:r>
            <w:r>
              <w:rPr>
                <w:rFonts w:hint="default" w:ascii="Times New Roman" w:hAnsi="Times New Roman" w:eastAsia="方正仿宋简体" w:cs="Times New Roman"/>
                <w:color w:val="auto"/>
                <w:spacing w:val="-1"/>
                <w:sz w:val="24"/>
                <w:szCs w:val="24"/>
              </w:rPr>
              <w:t>净。临时饮食摊点应当采取有效措施防止油污、污水和垃圾污染环境。</w:t>
            </w:r>
          </w:p>
          <w:p w14:paraId="187E247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第六十五条第四项</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单位或者个人有下列情形之一的，责令改正或者限期清除；拒不改正或者清除的，依法代为清除，其费用由违法行为人承担。可以并处五十元以上二百元以下罚款</w:t>
            </w:r>
            <w:r>
              <w:rPr>
                <w:rFonts w:hint="default" w:ascii="Times New Roman" w:hAnsi="Times New Roman" w:eastAsia="方正仿宋简体" w:cs="Times New Roman"/>
                <w:color w:val="auto"/>
                <w:spacing w:val="11"/>
                <w:sz w:val="24"/>
                <w:szCs w:val="24"/>
              </w:rPr>
              <w:t>：（</w:t>
            </w:r>
            <w:r>
              <w:rPr>
                <w:rFonts w:hint="default" w:ascii="Times New Roman" w:hAnsi="Times New Roman" w:eastAsia="方正仿宋简体" w:cs="Times New Roman"/>
                <w:color w:val="auto"/>
                <w:spacing w:val="-1"/>
                <w:sz w:val="24"/>
                <w:szCs w:val="24"/>
              </w:rPr>
              <w:t>四）违反本条例</w:t>
            </w:r>
            <w:r>
              <w:rPr>
                <w:rFonts w:hint="default" w:ascii="Times New Roman" w:hAnsi="Times New Roman" w:eastAsia="方正仿宋简体" w:cs="Times New Roman"/>
                <w:color w:val="auto"/>
                <w:spacing w:val="-2"/>
                <w:sz w:val="24"/>
                <w:szCs w:val="24"/>
              </w:rPr>
              <w:t>第三十七条第二款、第三十八条摊点</w:t>
            </w:r>
            <w:r>
              <w:rPr>
                <w:rFonts w:hint="default" w:ascii="Times New Roman" w:hAnsi="Times New Roman" w:eastAsia="方正仿宋简体" w:cs="Times New Roman"/>
                <w:color w:val="auto"/>
                <w:spacing w:val="-3"/>
                <w:sz w:val="24"/>
                <w:szCs w:val="24"/>
              </w:rPr>
              <w:t>卫生管理规定的。</w:t>
            </w:r>
          </w:p>
          <w:p w14:paraId="2EE9143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5项</w:t>
            </w:r>
          </w:p>
        </w:tc>
        <w:tc>
          <w:tcPr>
            <w:tcW w:w="1034" w:type="dxa"/>
            <w:noWrap w:val="0"/>
            <w:vAlign w:val="center"/>
          </w:tcPr>
          <w:p w14:paraId="35C9DA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075BA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62FCA2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693C1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245F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EE7F09">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3778A1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6"/>
                <w:sz w:val="24"/>
                <w:szCs w:val="24"/>
              </w:rPr>
              <w:t>对使用拖拉机、联合收割</w:t>
            </w:r>
            <w:r>
              <w:rPr>
                <w:rFonts w:hint="default" w:ascii="Times New Roman" w:hAnsi="Times New Roman" w:eastAsia="方正仿宋简体" w:cs="Times New Roman"/>
                <w:color w:val="auto"/>
                <w:spacing w:val="-1"/>
                <w:sz w:val="24"/>
                <w:szCs w:val="24"/>
              </w:rPr>
              <w:t>机违反规定载人的行政</w:t>
            </w:r>
            <w:r>
              <w:rPr>
                <w:rFonts w:hint="default" w:ascii="Times New Roman" w:hAnsi="Times New Roman" w:eastAsia="方正仿宋简体" w:cs="Times New Roman"/>
                <w:color w:val="auto"/>
                <w:spacing w:val="-5"/>
                <w:sz w:val="24"/>
                <w:szCs w:val="24"/>
              </w:rPr>
              <w:t>处罚</w:t>
            </w:r>
          </w:p>
        </w:tc>
        <w:tc>
          <w:tcPr>
            <w:tcW w:w="1164" w:type="dxa"/>
            <w:noWrap w:val="0"/>
            <w:vAlign w:val="center"/>
          </w:tcPr>
          <w:p w14:paraId="17000F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277DC191">
            <w:pPr>
              <w:pStyle w:val="8"/>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《中华人民共和国农业机械化促进法》第三十一条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农业机械驾驶、操</w:t>
            </w:r>
            <w:r>
              <w:rPr>
                <w:rFonts w:hint="default" w:ascii="Times New Roman" w:hAnsi="Times New Roman" w:eastAsia="方正仿宋简体" w:cs="Times New Roman"/>
                <w:color w:val="auto"/>
                <w:spacing w:val="-1"/>
                <w:sz w:val="24"/>
                <w:szCs w:val="24"/>
              </w:rPr>
              <w:t>作人员违反国家规定的安全操作规程，违章作业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的，责令改正，依照有关法律、行政法规的规定予以处罚；构成犯罪的，依法追究刑事责任。</w:t>
            </w:r>
          </w:p>
          <w:p w14:paraId="12D2754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《农业机械安全监督管理条例》第五十四条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使用拖拉机、联合收割机违反规定载人的，</w:t>
            </w:r>
            <w:r>
              <w:rPr>
                <w:rFonts w:hint="default" w:ascii="Times New Roman" w:hAnsi="Times New Roman" w:eastAsia="方正仿宋简体" w:cs="Times New Roman"/>
                <w:color w:val="auto"/>
                <w:spacing w:val="-31"/>
                <w:sz w:val="24"/>
                <w:szCs w:val="24"/>
              </w:rPr>
              <w:t xml:space="preserve"> </w:t>
            </w:r>
            <w:r>
              <w:rPr>
                <w:rFonts w:hint="default" w:ascii="Times New Roman" w:hAnsi="Times New Roman" w:eastAsia="方正仿宋简体" w:cs="Times New Roman"/>
                <w:color w:val="auto"/>
                <w:spacing w:val="-1"/>
                <w:sz w:val="24"/>
                <w:szCs w:val="24"/>
              </w:rPr>
              <w:t>由县级以上地方人民政府农业机械化主管部门对违法行为人予以批评教育，责令改正；拒不改正的，扣押拖拉机、联合收割机的证书、牌照；情节严重的，</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吊销有关人员的操作证件。非法从事经营性道路旅客运输的，由交通</w:t>
            </w:r>
            <w:r>
              <w:rPr>
                <w:rFonts w:hint="default" w:ascii="Times New Roman" w:hAnsi="Times New Roman" w:eastAsia="方正仿宋简体" w:cs="Times New Roman"/>
                <w:color w:val="auto"/>
                <w:spacing w:val="-2"/>
                <w:sz w:val="24"/>
                <w:szCs w:val="24"/>
              </w:rPr>
              <w:t>主管部门依照道路运输管理法律、行政法规</w:t>
            </w:r>
            <w:r>
              <w:rPr>
                <w:rFonts w:hint="default" w:ascii="Times New Roman" w:hAnsi="Times New Roman" w:eastAsia="方正仿宋简体" w:cs="Times New Roman"/>
                <w:color w:val="auto"/>
                <w:spacing w:val="-1"/>
                <w:sz w:val="24"/>
                <w:szCs w:val="24"/>
              </w:rPr>
              <w:t>处罚。</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当事人改正违法行为的，应当及时退还扣押的拖拉机、联合收割机的</w:t>
            </w:r>
            <w:r>
              <w:rPr>
                <w:rFonts w:hint="default" w:ascii="Times New Roman" w:hAnsi="Times New Roman" w:eastAsia="方正仿宋简体" w:cs="Times New Roman"/>
                <w:color w:val="auto"/>
                <w:spacing w:val="-2"/>
                <w:sz w:val="24"/>
                <w:szCs w:val="24"/>
              </w:rPr>
              <w:t>证书、牌照。</w:t>
            </w:r>
          </w:p>
          <w:p w14:paraId="26E2E0E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31项</w:t>
            </w:r>
          </w:p>
        </w:tc>
        <w:tc>
          <w:tcPr>
            <w:tcW w:w="1034" w:type="dxa"/>
            <w:noWrap w:val="0"/>
            <w:vAlign w:val="center"/>
          </w:tcPr>
          <w:p w14:paraId="18DC13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07E4D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2A157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8BCED5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w:t>
            </w:r>
            <w:r>
              <w:rPr>
                <w:rFonts w:hint="default" w:ascii="Times New Roman" w:hAnsi="Times New Roman" w:eastAsia="方正仿宋简体" w:cs="Times New Roman"/>
                <w:color w:val="auto"/>
                <w:sz w:val="24"/>
                <w:szCs w:val="24"/>
                <w:lang w:eastAsia="zh-CN"/>
              </w:rPr>
              <w:t>不含“吊销有关 人员的操作证件”</w:t>
            </w:r>
            <w:r>
              <w:rPr>
                <w:rFonts w:hint="eastAsia" w:ascii="Times New Roman" w:hAnsi="Times New Roman" w:eastAsia="方正仿宋简体" w:cs="Times New Roman"/>
                <w:color w:val="auto"/>
                <w:sz w:val="24"/>
                <w:szCs w:val="24"/>
                <w:lang w:eastAsia="zh-CN"/>
              </w:rPr>
              <w:t>）</w:t>
            </w:r>
          </w:p>
        </w:tc>
      </w:tr>
      <w:tr w14:paraId="710D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3647463">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743206A">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6"/>
                <w:sz w:val="24"/>
                <w:szCs w:val="24"/>
              </w:rPr>
            </w:pPr>
            <w:r>
              <w:rPr>
                <w:rFonts w:hint="default" w:ascii="Times New Roman" w:hAnsi="Times New Roman" w:eastAsia="方正仿宋简体" w:cs="Times New Roman"/>
                <w:color w:val="auto"/>
                <w:spacing w:val="-2"/>
                <w:sz w:val="24"/>
                <w:szCs w:val="24"/>
              </w:rPr>
              <w:t>对农村村民未经批准或者采取欺骗手段骗取批</w:t>
            </w:r>
            <w:r>
              <w:rPr>
                <w:rFonts w:hint="default" w:ascii="Times New Roman" w:hAnsi="Times New Roman" w:eastAsia="方正仿宋简体" w:cs="Times New Roman"/>
                <w:color w:val="auto"/>
                <w:spacing w:val="-6"/>
                <w:sz w:val="24"/>
                <w:szCs w:val="24"/>
              </w:rPr>
              <w:t>准，非法占用土地建住宅</w:t>
            </w:r>
            <w:r>
              <w:rPr>
                <w:rFonts w:hint="default" w:ascii="Times New Roman" w:hAnsi="Times New Roman" w:eastAsia="方正仿宋简体" w:cs="Times New Roman"/>
                <w:color w:val="auto"/>
                <w:spacing w:val="-3"/>
                <w:sz w:val="24"/>
                <w:szCs w:val="24"/>
              </w:rPr>
              <w:t>的行政处罚</w:t>
            </w:r>
          </w:p>
        </w:tc>
        <w:tc>
          <w:tcPr>
            <w:tcW w:w="1164" w:type="dxa"/>
            <w:noWrap w:val="0"/>
            <w:vAlign w:val="center"/>
          </w:tcPr>
          <w:p w14:paraId="340205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91E35E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《中华人民共和国土地管理法》第七十八条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农村村民未经批准或者采取欺骗</w:t>
            </w:r>
            <w:r>
              <w:rPr>
                <w:rFonts w:hint="default" w:ascii="Times New Roman" w:hAnsi="Times New Roman" w:eastAsia="方正仿宋简体" w:cs="Times New Roman"/>
                <w:color w:val="auto"/>
                <w:spacing w:val="-1"/>
                <w:sz w:val="24"/>
                <w:szCs w:val="24"/>
              </w:rPr>
              <w:t>手段骗取批准，非法占用土地建住宅的，由</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县级以上人民政府农业农村主管部门责令退还非法</w:t>
            </w:r>
            <w:r>
              <w:rPr>
                <w:rFonts w:hint="default" w:ascii="Times New Roman" w:hAnsi="Times New Roman" w:eastAsia="方正仿宋简体" w:cs="Times New Roman"/>
                <w:color w:val="auto"/>
                <w:spacing w:val="-2"/>
                <w:sz w:val="24"/>
                <w:szCs w:val="24"/>
              </w:rPr>
              <w:t>占用的土地，限期拆除在非法占用的土地上新建的房屋。超过省、</w:t>
            </w:r>
            <w:r>
              <w:rPr>
                <w:rFonts w:hint="default" w:ascii="Times New Roman" w:hAnsi="Times New Roman" w:eastAsia="方正仿宋简体" w:cs="Times New Roman"/>
                <w:color w:val="auto"/>
                <w:spacing w:val="-39"/>
                <w:sz w:val="24"/>
                <w:szCs w:val="24"/>
              </w:rPr>
              <w:t xml:space="preserve"> </w:t>
            </w:r>
            <w:r>
              <w:rPr>
                <w:rFonts w:hint="default" w:ascii="Times New Roman" w:hAnsi="Times New Roman" w:eastAsia="方正仿宋简体" w:cs="Times New Roman"/>
                <w:color w:val="auto"/>
                <w:spacing w:val="-2"/>
                <w:sz w:val="24"/>
                <w:szCs w:val="24"/>
              </w:rPr>
              <w:t>自</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2"/>
                <w:sz w:val="24"/>
                <w:szCs w:val="24"/>
              </w:rPr>
              <w:t>治区、直辖市规定的标准，多</w:t>
            </w:r>
            <w:r>
              <w:rPr>
                <w:rFonts w:hint="default" w:ascii="Times New Roman" w:hAnsi="Times New Roman" w:eastAsia="方正仿宋简体" w:cs="Times New Roman"/>
                <w:color w:val="auto"/>
                <w:spacing w:val="-36"/>
                <w:sz w:val="24"/>
                <w:szCs w:val="24"/>
              </w:rPr>
              <w:t xml:space="preserve"> </w:t>
            </w:r>
            <w:r>
              <w:rPr>
                <w:rFonts w:hint="default" w:ascii="Times New Roman" w:hAnsi="Times New Roman" w:eastAsia="方正仿宋简体" w:cs="Times New Roman"/>
                <w:color w:val="auto"/>
                <w:spacing w:val="-2"/>
                <w:sz w:val="24"/>
                <w:szCs w:val="24"/>
              </w:rPr>
              <w:t>占的土地以非法占用</w:t>
            </w:r>
            <w:r>
              <w:rPr>
                <w:rFonts w:hint="default" w:ascii="Times New Roman" w:hAnsi="Times New Roman" w:eastAsia="方正仿宋简体" w:cs="Times New Roman"/>
                <w:color w:val="auto"/>
                <w:spacing w:val="-3"/>
                <w:sz w:val="24"/>
                <w:szCs w:val="24"/>
              </w:rPr>
              <w:t>土地论处。</w:t>
            </w:r>
          </w:p>
          <w:p w14:paraId="5BD8F244">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《四川省&lt;中华人民共和国土地管理法&gt;实施办法》第七十四条　农村村民非法占用土地建住宅的行政处罚权，交由乡镇人民政府行使，跨行政区域和县级以上地方人民政府认为影响较大的案件除外。   </w:t>
            </w:r>
          </w:p>
          <w:p w14:paraId="79DDBE0C">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39项</w:t>
            </w:r>
          </w:p>
          <w:p w14:paraId="3543E3A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江陵镇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70项</w:t>
            </w:r>
          </w:p>
        </w:tc>
        <w:tc>
          <w:tcPr>
            <w:tcW w:w="1034" w:type="dxa"/>
            <w:noWrap w:val="0"/>
            <w:vAlign w:val="center"/>
          </w:tcPr>
          <w:p w14:paraId="292986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A064D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EA077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719477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7C17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78E8A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3FDFCC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对擅自移动或者破坏野生植物保护设施、保护标志的行政处罚</w:t>
            </w:r>
          </w:p>
        </w:tc>
        <w:tc>
          <w:tcPr>
            <w:tcW w:w="1164" w:type="dxa"/>
            <w:noWrap w:val="0"/>
            <w:vAlign w:val="center"/>
          </w:tcPr>
          <w:p w14:paraId="36E3A0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7B68FFF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《四川省野生植物保护条例》第九条第三款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 xml:space="preserve">禁止破坏野生植物生长环境和野生植物保护小区、保护点的保护设施、保护标志。 </w:t>
            </w:r>
          </w:p>
          <w:p w14:paraId="130C4015">
            <w:pPr>
              <w:pStyle w:val="8"/>
              <w:keepNext w:val="0"/>
              <w:keepLines w:val="0"/>
              <w:pageBreakBefore w:val="0"/>
              <w:widowControl w:val="0"/>
              <w:kinsoku/>
              <w:wordWrap/>
              <w:overflowPunct/>
              <w:topLinePunct w:val="0"/>
              <w:autoSpaceDE/>
              <w:autoSpaceDN/>
              <w:bidi w:val="0"/>
              <w:spacing w:line="360" w:lineRule="exact"/>
              <w:ind w:firstLine="480"/>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z w:val="24"/>
                <w:szCs w:val="24"/>
              </w:rPr>
              <w:t>《四川省野生植物保护条例》</w:t>
            </w:r>
            <w:r>
              <w:rPr>
                <w:rFonts w:hint="default" w:ascii="Times New Roman" w:hAnsi="Times New Roman" w:eastAsia="方正仿宋简体" w:cs="Times New Roman"/>
                <w:color w:val="auto"/>
                <w:spacing w:val="-1"/>
                <w:sz w:val="24"/>
                <w:szCs w:val="24"/>
              </w:rPr>
              <w:t>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违反本条例第九条第三款规定，破坏野生植物生长环境的，由县级以上地方人民政府野生植物行政主管部门  责令其停止破坏行为、恢复原状，可并处二千元以上二万元以下的罚款，情节严重的可并处二万元以上五万元以下罚款； 擅自移动或者破坏野生植物保护设施、保护标志的，由县级以上地方人民政府野生植物行政主管部门责令其改正、依法赔偿损失，可并处五百元以上二千元以下的罚款。</w:t>
            </w:r>
          </w:p>
          <w:p w14:paraId="74DB80AF">
            <w:pPr>
              <w:pStyle w:val="8"/>
              <w:keepNext w:val="0"/>
              <w:keepLines w:val="0"/>
              <w:pageBreakBefore w:val="0"/>
              <w:widowControl w:val="0"/>
              <w:kinsoku/>
              <w:wordWrap/>
              <w:overflowPunct/>
              <w:topLinePunct w:val="0"/>
              <w:autoSpaceDE/>
              <w:autoSpaceDN/>
              <w:bidi w:val="0"/>
              <w:spacing w:line="360" w:lineRule="exact"/>
              <w:ind w:firstLine="476" w:firstLineChars="200"/>
              <w:jc w:val="both"/>
              <w:textAlignment w:val="auto"/>
              <w:rPr>
                <w:rFonts w:hint="default" w:ascii="Times New Roman" w:hAnsi="Times New Roman" w:eastAsia="方正仿宋简体" w:cs="Times New Roman"/>
                <w:color w:val="auto"/>
                <w:spacing w:val="-2"/>
                <w:sz w:val="24"/>
                <w:szCs w:val="24"/>
                <w:lang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47项</w:t>
            </w:r>
          </w:p>
        </w:tc>
        <w:tc>
          <w:tcPr>
            <w:tcW w:w="1034" w:type="dxa"/>
            <w:noWrap w:val="0"/>
            <w:vAlign w:val="center"/>
          </w:tcPr>
          <w:p w14:paraId="4024D0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C57BA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44303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DC03A6">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2B00BC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对在依法划定的电力设施保护区内修建建筑物、构筑物或者种植植物、堆放物品，危及电力设施安全的强制拆除、砍伐或者清除</w:t>
            </w:r>
          </w:p>
        </w:tc>
        <w:tc>
          <w:tcPr>
            <w:tcW w:w="1164" w:type="dxa"/>
            <w:noWrap w:val="0"/>
            <w:vAlign w:val="center"/>
          </w:tcPr>
          <w:p w14:paraId="35DAD10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7525F7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《中华人民共和国电力法》第六十九条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034"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11C779">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111E75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对非法种植毒品原植物的强制制止、铲除</w:t>
            </w:r>
          </w:p>
        </w:tc>
        <w:tc>
          <w:tcPr>
            <w:tcW w:w="1164" w:type="dxa"/>
            <w:noWrap w:val="0"/>
            <w:vAlign w:val="center"/>
          </w:tcPr>
          <w:p w14:paraId="536AD9B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73F2D3F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《中华人民共和国禁毒法》第十九条第二款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color w:val="auto"/>
                <w:spacing w:val="-6"/>
                <w:sz w:val="24"/>
                <w:szCs w:val="24"/>
                <w:highlight w:val="none"/>
                <w:u w:val="none"/>
              </w:rPr>
              <w:t>种植毒品原植物的，应当及时予以制止、铲除，并向当地公安机关报告。</w:t>
            </w:r>
          </w:p>
        </w:tc>
        <w:tc>
          <w:tcPr>
            <w:tcW w:w="1034"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DE15B5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C6912E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0"/>
                <w:sz w:val="24"/>
                <w:szCs w:val="24"/>
                <w:highlight w:val="none"/>
              </w:rPr>
              <w:t>对受到地质灾害威胁且情况紧急时的强制避灾疏散</w:t>
            </w:r>
          </w:p>
        </w:tc>
        <w:tc>
          <w:tcPr>
            <w:tcW w:w="1164" w:type="dxa"/>
            <w:noWrap w:val="0"/>
            <w:vAlign w:val="center"/>
          </w:tcPr>
          <w:p w14:paraId="6179E2D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87E2D5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《地质灾害防治条例》第二十九条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接到地质灾害险情报告的当地人民政府、基层群众自治组织应当根据实际情况，及时动员受到地质灾害威胁的居民以及其他人员转移到安全地带；情况紧急时，可以强行组织避灾疏散。</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 </w:t>
            </w:r>
          </w:p>
        </w:tc>
        <w:tc>
          <w:tcPr>
            <w:tcW w:w="1034"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54862A4">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89A675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highlight w:val="none"/>
              </w:rPr>
            </w:pPr>
            <w:r>
              <w:rPr>
                <w:rFonts w:hint="default" w:ascii="Times New Roman" w:hAnsi="Times New Roman" w:eastAsia="方正仿宋简体" w:cs="Times New Roman"/>
                <w:color w:val="auto"/>
                <w:sz w:val="24"/>
                <w:szCs w:val="24"/>
                <w:highlight w:val="none"/>
                <w:u w:val="none"/>
              </w:rPr>
              <w:t>对在乡、村庄规划区内未依法取得乡村建设规划许可证或者未按照乡村建设规划许可证的规定进行建设的，逾期不改正的强制拆除</w:t>
            </w:r>
          </w:p>
        </w:tc>
        <w:tc>
          <w:tcPr>
            <w:tcW w:w="1164" w:type="dxa"/>
            <w:noWrap w:val="0"/>
            <w:vAlign w:val="center"/>
          </w:tcPr>
          <w:p w14:paraId="1DDE687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062C370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《中华人民共和国城乡规划法》第六十五条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034"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330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0DB375">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DF7FAAF">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对环境保护隐患的检查</w:t>
            </w:r>
          </w:p>
        </w:tc>
        <w:tc>
          <w:tcPr>
            <w:tcW w:w="1164" w:type="dxa"/>
            <w:noWrap w:val="0"/>
            <w:vAlign w:val="center"/>
          </w:tcPr>
          <w:p w14:paraId="3544F7F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86B615B">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6FA6AD96">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《四川省&lt;中华人民共和国大气污染防治法&gt;实施办法》第三条第三款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color w:val="auto"/>
                <w:kern w:val="2"/>
                <w:sz w:val="24"/>
                <w:szCs w:val="24"/>
                <w:lang w:val="en-US" w:eastAsia="zh-CN" w:bidi="ar-SA"/>
              </w:rPr>
              <w:t xml:space="preserve"> </w:t>
            </w:r>
          </w:p>
        </w:tc>
        <w:tc>
          <w:tcPr>
            <w:tcW w:w="1034" w:type="dxa"/>
            <w:noWrap w:val="0"/>
            <w:vAlign w:val="center"/>
          </w:tcPr>
          <w:p w14:paraId="170542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B83C1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99C1EF3">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347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2073959">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77AAA1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对秸秆禁烧区开展秸秆焚烧现场检查</w:t>
            </w:r>
          </w:p>
        </w:tc>
        <w:tc>
          <w:tcPr>
            <w:tcW w:w="1164" w:type="dxa"/>
            <w:noWrap w:val="0"/>
            <w:vAlign w:val="center"/>
          </w:tcPr>
          <w:p w14:paraId="2BD681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717C625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《四川省环境保护条例》第五十一条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034" w:type="dxa"/>
            <w:noWrap w:val="0"/>
            <w:vAlign w:val="center"/>
          </w:tcPr>
          <w:p w14:paraId="37A7BC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7F031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D7BAE5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6B99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4FCAC0">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097552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对水上交通安全的监督检查</w:t>
            </w:r>
          </w:p>
        </w:tc>
        <w:tc>
          <w:tcPr>
            <w:tcW w:w="1164" w:type="dxa"/>
            <w:noWrap w:val="0"/>
            <w:vAlign w:val="center"/>
          </w:tcPr>
          <w:p w14:paraId="64834F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9623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《四川省水上交通安全管理条例》第八条</w:t>
            </w:r>
            <w:r>
              <w:rPr>
                <w:rFonts w:hint="default" w:ascii="Times New Roman" w:hAnsi="Times New Roman" w:eastAsia="方正仿宋简体" w:cs="Times New Roman"/>
                <w:b w:val="0"/>
                <w:color w:val="auto"/>
                <w:sz w:val="24"/>
                <w:szCs w:val="24"/>
                <w:highlight w:val="none"/>
                <w:u w:val="none"/>
              </w:rPr>
              <w:t xml:space="preserve">第一款第一项  </w:t>
            </w:r>
            <w:r>
              <w:rPr>
                <w:rFonts w:hint="default" w:ascii="Times New Roman" w:hAnsi="Times New Roman" w:eastAsia="方正仿宋简体" w:cs="Times New Roman"/>
                <w:color w:val="auto"/>
                <w:sz w:val="24"/>
                <w:szCs w:val="24"/>
                <w:highlight w:val="none"/>
                <w:u w:val="none"/>
              </w:rPr>
              <w:t>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color w:val="auto"/>
                <w:sz w:val="24"/>
                <w:szCs w:val="24"/>
                <w:lang w:val="en-US" w:eastAsia="zh-CN"/>
              </w:rPr>
              <w:t xml:space="preserve"> </w:t>
            </w:r>
          </w:p>
          <w:p w14:paraId="0851EE7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《四川省水上交通安全管理条例》第四十五条</w:t>
            </w:r>
            <w:r>
              <w:rPr>
                <w:rFonts w:hint="default" w:ascii="Times New Roman" w:hAnsi="Times New Roman" w:eastAsia="方正仿宋简体" w:cs="Times New Roman"/>
                <w:b w:val="0"/>
                <w:color w:val="auto"/>
                <w:sz w:val="24"/>
                <w:szCs w:val="24"/>
                <w:highlight w:val="none"/>
                <w:u w:val="none"/>
              </w:rPr>
              <w:t>第一款</w:t>
            </w:r>
            <w:r>
              <w:rPr>
                <w:rFonts w:hint="default" w:ascii="Times New Roman" w:hAnsi="Times New Roman" w:eastAsia="方正仿宋简体" w:cs="Times New Roman"/>
                <w:color w:val="auto"/>
                <w:sz w:val="24"/>
                <w:szCs w:val="24"/>
                <w:highlight w:val="none"/>
                <w:u w:val="none"/>
              </w:rPr>
              <w:t xml:space="preserve">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034" w:type="dxa"/>
            <w:noWrap w:val="0"/>
            <w:vAlign w:val="center"/>
          </w:tcPr>
          <w:p w14:paraId="4A42D2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4C359F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F1EE2C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C6E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331EA6F">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E12B57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对渡口安全的监督检查</w:t>
            </w:r>
          </w:p>
        </w:tc>
        <w:tc>
          <w:tcPr>
            <w:tcW w:w="1164" w:type="dxa"/>
            <w:noWrap w:val="0"/>
            <w:vAlign w:val="center"/>
          </w:tcPr>
          <w:p w14:paraId="11D927D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4ACFF1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《四川省渡口管理办法》第四条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color w:val="auto"/>
                <w:sz w:val="24"/>
                <w:szCs w:val="24"/>
                <w:highlight w:val="none"/>
                <w:u w:val="none"/>
                <w:lang w:val="en-US" w:eastAsia="zh-CN"/>
              </w:rPr>
              <w:t xml:space="preserve"> </w:t>
            </w:r>
          </w:p>
          <w:p w14:paraId="2D9B61B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《四川省渡口管理办法》第六条</w:t>
            </w:r>
            <w:r>
              <w:rPr>
                <w:rFonts w:hint="default" w:ascii="Times New Roman" w:hAnsi="Times New Roman" w:eastAsia="方正仿宋简体" w:cs="Times New Roman"/>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034" w:type="dxa"/>
            <w:noWrap w:val="0"/>
            <w:vAlign w:val="center"/>
          </w:tcPr>
          <w:p w14:paraId="36C0DF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E72FD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11F66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04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FFF97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E44838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对生产经营单位安全生产状况的监督检查</w:t>
            </w:r>
          </w:p>
        </w:tc>
        <w:tc>
          <w:tcPr>
            <w:tcW w:w="1164" w:type="dxa"/>
            <w:noWrap w:val="0"/>
            <w:vAlign w:val="center"/>
          </w:tcPr>
          <w:p w14:paraId="2B3103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4DCE14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《中华人民共和国安全生产法》第九条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3E04AD6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《四川省安全生产条例》第五条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842E1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E6C77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C0D92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2FB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FAF185">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D4CD3B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对食品安全的监督检查</w:t>
            </w:r>
          </w:p>
        </w:tc>
        <w:tc>
          <w:tcPr>
            <w:tcW w:w="1164" w:type="dxa"/>
            <w:noWrap w:val="0"/>
            <w:vAlign w:val="center"/>
          </w:tcPr>
          <w:p w14:paraId="76CFB6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756062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《四川省食品安全条例》第八条</w:t>
            </w:r>
            <w:r>
              <w:rPr>
                <w:rFonts w:hint="default" w:ascii="Times New Roman" w:hAnsi="Times New Roman" w:eastAsia="方正仿宋简体" w:cs="Times New Roman"/>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7C4C3EC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《四川省食品安全条例》第四十条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ACF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645B1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C95C6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E1E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8C4E3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51B9D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配合开展电信设施建设和保护工作的监督检查</w:t>
            </w:r>
          </w:p>
        </w:tc>
        <w:tc>
          <w:tcPr>
            <w:tcW w:w="1164" w:type="dxa"/>
            <w:noWrap w:val="0"/>
            <w:vAlign w:val="center"/>
          </w:tcPr>
          <w:p w14:paraId="6FF4CC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A64278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《四川省电信设施建设和保护条例》第三十三条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034" w:type="dxa"/>
            <w:noWrap w:val="0"/>
            <w:vAlign w:val="center"/>
          </w:tcPr>
          <w:p w14:paraId="6CC89F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05599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26F53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711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AE2761">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F802F6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对消防安全的检查</w:t>
            </w:r>
          </w:p>
        </w:tc>
        <w:tc>
          <w:tcPr>
            <w:tcW w:w="1164" w:type="dxa"/>
            <w:noWrap w:val="0"/>
            <w:vAlign w:val="center"/>
          </w:tcPr>
          <w:p w14:paraId="5FEB2B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352506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《中华人民共和国消防法》第三十条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地方各级人民政府应当加强对农村消防工作的领导，采取措施加强公共消防设施建设，组织建立和督促落实消防安全责任制。</w:t>
            </w:r>
          </w:p>
          <w:p w14:paraId="41C51A1F">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color w:val="auto"/>
                <w:sz w:val="24"/>
                <w:szCs w:val="24"/>
                <w:lang w:val="en-US" w:eastAsia="zh-CN"/>
              </w:rPr>
              <w:t xml:space="preserve"> </w:t>
            </w:r>
          </w:p>
          <w:p w14:paraId="7EDA83F9">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pacing w:val="-1"/>
                <w:sz w:val="24"/>
                <w:szCs w:val="24"/>
                <w:lang w:eastAsia="zh-CN"/>
              </w:rPr>
            </w:pPr>
            <w:r>
              <w:rPr>
                <w:rFonts w:hint="default" w:ascii="Times New Roman" w:hAnsi="Times New Roman" w:eastAsia="方正仿宋简体" w:cs="Times New Roman"/>
                <w:color w:val="auto"/>
                <w:sz w:val="24"/>
                <w:szCs w:val="24"/>
              </w:rPr>
              <w:t>《中华人民共和国消防法》第三十二条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5B0F246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《四川省消防条例》第十一条</w:t>
            </w:r>
            <w:r>
              <w:rPr>
                <w:rFonts w:hint="default" w:ascii="Times New Roman" w:hAnsi="Times New Roman" w:eastAsia="方正仿宋简体" w:cs="Times New Roman"/>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034" w:type="dxa"/>
            <w:noWrap w:val="0"/>
            <w:vAlign w:val="center"/>
          </w:tcPr>
          <w:p w14:paraId="6ED1A7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1299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BDB2D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B74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AB86E65">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62AD4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对本辖区内公共消防设施的规划建设和维护管理情况的检查</w:t>
            </w:r>
          </w:p>
        </w:tc>
        <w:tc>
          <w:tcPr>
            <w:tcW w:w="1164" w:type="dxa"/>
            <w:noWrap w:val="0"/>
            <w:vAlign w:val="center"/>
          </w:tcPr>
          <w:p w14:paraId="5DE9B3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E98A4A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《四川省公共消防设施条例》第九条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034" w:type="dxa"/>
            <w:noWrap w:val="0"/>
            <w:vAlign w:val="center"/>
          </w:tcPr>
          <w:p w14:paraId="06AC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23FF8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61BF9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38B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1201C8D">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03BDB2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对地质灾害险情的检查</w:t>
            </w:r>
          </w:p>
        </w:tc>
        <w:tc>
          <w:tcPr>
            <w:tcW w:w="1164" w:type="dxa"/>
            <w:noWrap w:val="0"/>
            <w:vAlign w:val="center"/>
          </w:tcPr>
          <w:p w14:paraId="032F51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7B6261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《地质灾害防治条例》第十五条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034" w:type="dxa"/>
            <w:noWrap w:val="0"/>
            <w:vAlign w:val="center"/>
          </w:tcPr>
          <w:p w14:paraId="4E4EE2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6A469B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743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C11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FAE086B">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FDC2DB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对乡（镇）、村农村住房建设质量安全的检查</w:t>
            </w:r>
          </w:p>
        </w:tc>
        <w:tc>
          <w:tcPr>
            <w:tcW w:w="1164" w:type="dxa"/>
            <w:noWrap w:val="0"/>
            <w:vAlign w:val="center"/>
          </w:tcPr>
          <w:p w14:paraId="2E3A58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83B705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《四川省农村住房建设管理办法》第二十九条</w:t>
            </w:r>
            <w:r>
              <w:rPr>
                <w:rFonts w:hint="default" w:ascii="Times New Roman" w:hAnsi="Times New Roman" w:eastAsia="方正仿宋简体" w:cs="Times New Roman"/>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 </w:t>
            </w:r>
          </w:p>
        </w:tc>
        <w:tc>
          <w:tcPr>
            <w:tcW w:w="1034" w:type="dxa"/>
            <w:noWrap w:val="0"/>
            <w:vAlign w:val="center"/>
          </w:tcPr>
          <w:p w14:paraId="536CA8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9BF0D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A652C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9F8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0946D1F">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AAEC7F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对预防控制狂犬病工作的督促检查</w:t>
            </w:r>
          </w:p>
        </w:tc>
        <w:tc>
          <w:tcPr>
            <w:tcW w:w="1164" w:type="dxa"/>
            <w:noWrap w:val="0"/>
            <w:vAlign w:val="center"/>
          </w:tcPr>
          <w:p w14:paraId="7EB939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C63D72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《四川省预防控制狂犬病条例》第三条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地方各级人民政府对预防控制狂犬病工作要加强组织领导和督促检查。</w:t>
            </w:r>
          </w:p>
        </w:tc>
        <w:tc>
          <w:tcPr>
            <w:tcW w:w="1034" w:type="dxa"/>
            <w:noWrap w:val="0"/>
            <w:vAlign w:val="center"/>
          </w:tcPr>
          <w:p w14:paraId="12EFFA0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C4A71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49623E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CD7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89C95D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5ABBB7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对本行政区域内草原保护、建设和利用情况的监督检查</w:t>
            </w:r>
          </w:p>
        </w:tc>
        <w:tc>
          <w:tcPr>
            <w:tcW w:w="1164" w:type="dxa"/>
            <w:noWrap w:val="0"/>
            <w:vAlign w:val="center"/>
          </w:tcPr>
          <w:p w14:paraId="2D14AE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A6FA7A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《中华人民共和国草原法》第八条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color w:val="auto"/>
                <w:sz w:val="24"/>
                <w:szCs w:val="24"/>
                <w:lang w:val="en-US" w:eastAsia="zh-CN"/>
              </w:rPr>
              <w:t xml:space="preserve"> </w:t>
            </w:r>
          </w:p>
          <w:p w14:paraId="3B1237B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《四川省《中华人民共和国草原法）实施办法》第三条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乡（镇）人民政府应当加强对草原保护、建设和利用情况的监督检查，根据需要设专职或者兼职人员负责具体监督检查工作。</w:t>
            </w:r>
          </w:p>
        </w:tc>
        <w:tc>
          <w:tcPr>
            <w:tcW w:w="1034" w:type="dxa"/>
            <w:noWrap w:val="0"/>
            <w:vAlign w:val="center"/>
          </w:tcPr>
          <w:p w14:paraId="54FE18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1CA5C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F4F6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D34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63A2A61">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44E2EE7">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对农贸市场开展日常巡查</w:t>
            </w:r>
          </w:p>
        </w:tc>
        <w:tc>
          <w:tcPr>
            <w:tcW w:w="1164" w:type="dxa"/>
            <w:noWrap w:val="0"/>
            <w:vAlign w:val="center"/>
          </w:tcPr>
          <w:p w14:paraId="2368113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6D3763B">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eastAsia" w:ascii="Times New Roman" w:hAnsi="Times New Roman" w:eastAsia="方正仿宋简体" w:cs="Times New Roman"/>
                <w:color w:val="auto"/>
                <w:sz w:val="24"/>
                <w:szCs w:val="24"/>
                <w:lang w:eastAsia="zh-CN"/>
              </w:rPr>
              <w:t>《达州市农贸市场管理条例》第六条第三款</w:t>
            </w: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乡镇人民政府（街道办事处）负责对辖区农贸市场开展日常巡查，督促市场开办者及市场经营者落实相关责任，发现违法行为应当及时制止，报告有关部门（单位）并协助处理。</w:t>
            </w:r>
          </w:p>
        </w:tc>
        <w:tc>
          <w:tcPr>
            <w:tcW w:w="1034" w:type="dxa"/>
            <w:noWrap w:val="0"/>
            <w:vAlign w:val="center"/>
          </w:tcPr>
          <w:p w14:paraId="6F27C1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93316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AB14E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D4C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8AA8CC">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0CA97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w:t>
            </w:r>
            <w:r>
              <w:rPr>
                <w:rFonts w:hint="default" w:ascii="Times New Roman" w:hAnsi="Times New Roman" w:eastAsia="方正仿宋简体" w:cs="Times New Roman"/>
                <w:color w:val="auto"/>
                <w:sz w:val="24"/>
                <w:szCs w:val="24"/>
              </w:rPr>
              <w:t>在禁渔区、禁渔期内从事游钓、水禽放养的日常巡查</w:t>
            </w:r>
          </w:p>
        </w:tc>
        <w:tc>
          <w:tcPr>
            <w:tcW w:w="1164" w:type="dxa"/>
            <w:noWrap w:val="0"/>
            <w:vAlign w:val="center"/>
          </w:tcPr>
          <w:p w14:paraId="7AA7CA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E68FA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6D64485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江陵镇</w:t>
            </w:r>
            <w:r>
              <w:rPr>
                <w:rFonts w:hint="default" w:ascii="Times New Roman" w:hAnsi="Times New Roman" w:eastAsia="方正仿宋简体" w:cs="Times New Roman"/>
                <w:color w:val="auto"/>
                <w:spacing w:val="-1"/>
                <w:sz w:val="24"/>
                <w:szCs w:val="24"/>
                <w:lang w:eastAsia="zh-CN"/>
              </w:rPr>
              <w:t>履行职责事项清单》中“配合履职事项清单”的第</w:t>
            </w:r>
            <w:r>
              <w:rPr>
                <w:rFonts w:hint="default" w:ascii="Times New Roman" w:hAnsi="Times New Roman" w:eastAsia="方正仿宋简体" w:cs="Times New Roman"/>
                <w:color w:val="auto"/>
                <w:spacing w:val="-1"/>
                <w:sz w:val="24"/>
                <w:szCs w:val="24"/>
                <w:lang w:val="en-US" w:eastAsia="zh-CN"/>
              </w:rPr>
              <w:t>4</w:t>
            </w:r>
            <w:r>
              <w:rPr>
                <w:rFonts w:hint="eastAsia" w:ascii="Times New Roman" w:hAnsi="Times New Roman" w:eastAsia="方正仿宋简体" w:cs="Times New Roman"/>
                <w:color w:val="auto"/>
                <w:spacing w:val="-1"/>
                <w:sz w:val="24"/>
                <w:szCs w:val="24"/>
                <w:lang w:val="en-US" w:eastAsia="zh-CN"/>
              </w:rPr>
              <w:t>6</w:t>
            </w:r>
            <w:r>
              <w:rPr>
                <w:rFonts w:hint="default" w:ascii="Times New Roman" w:hAnsi="Times New Roman" w:eastAsia="方正仿宋简体" w:cs="Times New Roman"/>
                <w:color w:val="auto"/>
                <w:spacing w:val="-1"/>
                <w:sz w:val="24"/>
                <w:szCs w:val="24"/>
                <w:lang w:val="en-US" w:eastAsia="zh-CN"/>
              </w:rPr>
              <w:t>项</w:t>
            </w:r>
          </w:p>
          <w:p w14:paraId="1C6B238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72DC83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03C6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4298F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32F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8E1742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38139A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配合开展森林防火检查</w:t>
            </w:r>
          </w:p>
          <w:p w14:paraId="121C0CC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p>
        </w:tc>
        <w:tc>
          <w:tcPr>
            <w:tcW w:w="1164" w:type="dxa"/>
            <w:noWrap w:val="0"/>
            <w:vAlign w:val="center"/>
          </w:tcPr>
          <w:p w14:paraId="73EAF6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CEA3F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《森林防火条例》第二十四条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县级以上人民政府森林防火指挥机构，应当组织有关部门对森林防火区内有关单位的森林防火组织建设、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第三条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森林防火工作实行预防为主、积极消灭的方针，坚持以人为本、综合治理、分级负责、属地管理的原则。</w:t>
            </w:r>
          </w:p>
          <w:p w14:paraId="1686163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第四条</w:t>
            </w:r>
            <w:r>
              <w:rPr>
                <w:rFonts w:hint="default" w:ascii="Times New Roman" w:hAnsi="Times New Roman" w:eastAsia="方正仿宋简体" w:cs="Times New Roman"/>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val="en-US" w:eastAsia="zh-CN"/>
              </w:rPr>
              <w:t xml:space="preserve">第六条第三款 </w:t>
            </w:r>
            <w:r>
              <w:rPr>
                <w:rFonts w:hint="default" w:ascii="Times New Roman" w:hAnsi="Times New Roman" w:eastAsia="方正仿宋简体" w:cs="Times New Roman"/>
                <w:color w:val="auto"/>
                <w:spacing w:val="-1"/>
                <w:sz w:val="24"/>
                <w:szCs w:val="24"/>
              </w:rPr>
              <w:t>乡（镇）人民政府、森林防火区内的街道办事处按照森林防火责任规定，做好本辖区森林防火工作。</w:t>
            </w:r>
          </w:p>
          <w:p w14:paraId="7E312144">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号）中“基本清单”的行政检查第</w:t>
            </w:r>
            <w:r>
              <w:rPr>
                <w:rFonts w:hint="eastAsia" w:ascii="Times New Roman" w:hAnsi="Times New Roman" w:eastAsia="方正仿宋简体" w:cs="Times New Roman"/>
                <w:color w:val="auto"/>
                <w:spacing w:val="-1"/>
                <w:sz w:val="24"/>
                <w:szCs w:val="24"/>
                <w:lang w:val="en-US" w:eastAsia="zh-CN"/>
              </w:rPr>
              <w:t>6项</w:t>
            </w:r>
          </w:p>
          <w:p w14:paraId="2D171E9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江陵镇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85项、“配合履职事项清单”的第29项</w:t>
            </w:r>
          </w:p>
        </w:tc>
        <w:tc>
          <w:tcPr>
            <w:tcW w:w="1034" w:type="dxa"/>
            <w:noWrap w:val="0"/>
            <w:vAlign w:val="center"/>
          </w:tcPr>
          <w:p w14:paraId="2BAAC5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555B2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85224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4F08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C15CA43">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8E3E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水土保持监督检查</w:t>
            </w:r>
          </w:p>
        </w:tc>
        <w:tc>
          <w:tcPr>
            <w:tcW w:w="1164" w:type="dxa"/>
            <w:noWrap w:val="0"/>
            <w:vAlign w:val="center"/>
          </w:tcPr>
          <w:p w14:paraId="070353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4401A7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2项</w:t>
            </w:r>
          </w:p>
        </w:tc>
        <w:tc>
          <w:tcPr>
            <w:tcW w:w="1034" w:type="dxa"/>
            <w:noWrap w:val="0"/>
            <w:vAlign w:val="center"/>
          </w:tcPr>
          <w:p w14:paraId="37E26A9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3ED92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36409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04E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830942">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F9F9C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对违反农村宅基地管理法律、法规行为的监督检查</w:t>
            </w:r>
          </w:p>
        </w:tc>
        <w:tc>
          <w:tcPr>
            <w:tcW w:w="1164" w:type="dxa"/>
            <w:noWrap w:val="0"/>
            <w:vAlign w:val="center"/>
          </w:tcPr>
          <w:p w14:paraId="1BF38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color w:val="auto"/>
                <w:sz w:val="24"/>
                <w:szCs w:val="24"/>
              </w:rPr>
              <w:t>县级以上人民政府自然资源主管</w:t>
            </w:r>
            <w:r>
              <w:rPr>
                <w:rFonts w:hint="default" w:ascii="Times New Roman" w:hAnsi="Times New Roman" w:eastAsia="方正仿宋简体" w:cs="Times New Roman"/>
                <w:color w:val="auto"/>
                <w:spacing w:val="-1"/>
                <w:sz w:val="24"/>
                <w:szCs w:val="24"/>
              </w:rPr>
              <w:t>部门对违反土地管理法律、法规的行为进行</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监督检查。县级以上人民政府农业农村主管部门对违反农村宅基地管理法律、法规的行为进行监督检查的，适用本法关</w:t>
            </w:r>
            <w:r>
              <w:rPr>
                <w:rFonts w:hint="default" w:ascii="Times New Roman" w:hAnsi="Times New Roman" w:eastAsia="方正仿宋简体" w:cs="Times New Roman"/>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5项</w:t>
            </w:r>
          </w:p>
          <w:p w14:paraId="1ABA26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kern w:val="0"/>
                <w:sz w:val="24"/>
                <w:szCs w:val="24"/>
                <w:lang w:val="en-US" w:eastAsia="zh-CN" w:bidi="ar-SA"/>
              </w:rPr>
              <w:t xml:space="preserve">  </w:t>
            </w: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中“基本履职事项清单”的第70项</w:t>
            </w:r>
          </w:p>
        </w:tc>
        <w:tc>
          <w:tcPr>
            <w:tcW w:w="1034" w:type="dxa"/>
            <w:noWrap w:val="0"/>
            <w:vAlign w:val="center"/>
          </w:tcPr>
          <w:p w14:paraId="6020FC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00C1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CB64F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1E0C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CE28A6D">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59AEF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w:t>
            </w:r>
            <w:r>
              <w:rPr>
                <w:rFonts w:hint="default" w:ascii="Times New Roman" w:hAnsi="Times New Roman" w:eastAsia="方正仿宋简体" w:cs="Times New Roman"/>
                <w:color w:val="auto"/>
                <w:kern w:val="2"/>
                <w:sz w:val="24"/>
                <w:szCs w:val="24"/>
                <w:lang w:val="en-US" w:eastAsia="zh-CN" w:bidi="ar-SA"/>
              </w:rPr>
              <w:t>塘库堰、沟渠、提灌站等小微型农田水利基础设施日常巡查</w:t>
            </w:r>
          </w:p>
        </w:tc>
        <w:tc>
          <w:tcPr>
            <w:tcW w:w="1164" w:type="dxa"/>
            <w:noWrap w:val="0"/>
            <w:vAlign w:val="center"/>
          </w:tcPr>
          <w:p w14:paraId="5569C4C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F5CD36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中“基本履职事项清单”的第44项</w:t>
            </w:r>
          </w:p>
        </w:tc>
        <w:tc>
          <w:tcPr>
            <w:tcW w:w="1034" w:type="dxa"/>
            <w:noWrap w:val="0"/>
            <w:vAlign w:val="center"/>
          </w:tcPr>
          <w:p w14:paraId="1DA18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24243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2F15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基本履职事项</w:t>
            </w:r>
          </w:p>
        </w:tc>
      </w:tr>
      <w:tr w14:paraId="42FA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E5BE136">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EF2EFD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结合日常工作对非法安装卫星广播电视地面接收设施开展巡查</w:t>
            </w:r>
          </w:p>
        </w:tc>
        <w:tc>
          <w:tcPr>
            <w:tcW w:w="1164" w:type="dxa"/>
            <w:noWrap w:val="0"/>
            <w:vAlign w:val="center"/>
          </w:tcPr>
          <w:p w14:paraId="52E179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5485A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w:t>
            </w:r>
          </w:p>
          <w:p w14:paraId="088DD1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eastAsia" w:ascii="Times New Roman" w:hAnsi="Times New Roman" w:eastAsia="方正仿宋简体" w:cs="Times New Roman"/>
                <w:color w:val="auto"/>
                <w:spacing w:val="-1"/>
                <w:kern w:val="0"/>
                <w:sz w:val="24"/>
                <w:szCs w:val="24"/>
                <w:lang w:val="en-US" w:eastAsia="zh-CN" w:bidi="ar-SA"/>
              </w:rPr>
              <w:t>第6项</w:t>
            </w:r>
          </w:p>
        </w:tc>
        <w:tc>
          <w:tcPr>
            <w:tcW w:w="1034" w:type="dxa"/>
            <w:noWrap w:val="0"/>
            <w:vAlign w:val="center"/>
          </w:tcPr>
          <w:p w14:paraId="1E6161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CF11E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454FCE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108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93C135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46A1B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结合日常工作对殡葬领域开展巡查</w:t>
            </w:r>
          </w:p>
        </w:tc>
        <w:tc>
          <w:tcPr>
            <w:tcW w:w="1164" w:type="dxa"/>
            <w:noWrap w:val="0"/>
            <w:vAlign w:val="center"/>
          </w:tcPr>
          <w:p w14:paraId="442CF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68640F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w:t>
            </w:r>
          </w:p>
          <w:p w14:paraId="79327DF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eastAsia" w:ascii="Times New Roman" w:hAnsi="Times New Roman" w:eastAsia="方正仿宋简体" w:cs="Times New Roman"/>
                <w:color w:val="auto"/>
                <w:spacing w:val="-1"/>
                <w:kern w:val="0"/>
                <w:sz w:val="24"/>
                <w:szCs w:val="24"/>
                <w:lang w:val="en-US" w:eastAsia="zh-CN" w:bidi="ar-SA"/>
              </w:rPr>
              <w:t>第8项</w:t>
            </w:r>
          </w:p>
        </w:tc>
        <w:tc>
          <w:tcPr>
            <w:tcW w:w="1034" w:type="dxa"/>
            <w:noWrap w:val="0"/>
            <w:vAlign w:val="center"/>
          </w:tcPr>
          <w:p w14:paraId="2DC306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09C6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1B16A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454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90B458F">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C60BC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结合日常工作对供水单位和用水情况进行巡查</w:t>
            </w:r>
          </w:p>
        </w:tc>
        <w:tc>
          <w:tcPr>
            <w:tcW w:w="1164" w:type="dxa"/>
            <w:noWrap w:val="0"/>
            <w:vAlign w:val="center"/>
          </w:tcPr>
          <w:p w14:paraId="10E059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110272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中“配合履职事项清单”的第13项</w:t>
            </w:r>
          </w:p>
        </w:tc>
        <w:tc>
          <w:tcPr>
            <w:tcW w:w="1034" w:type="dxa"/>
            <w:noWrap w:val="0"/>
            <w:vAlign w:val="center"/>
          </w:tcPr>
          <w:p w14:paraId="4571DA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7A100E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4AF6B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BD2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4ECD0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6A90BA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对交付后的高标准农田管护利用、运行安全巡查</w:t>
            </w:r>
          </w:p>
        </w:tc>
        <w:tc>
          <w:tcPr>
            <w:tcW w:w="1164" w:type="dxa"/>
            <w:noWrap w:val="0"/>
            <w:vAlign w:val="center"/>
          </w:tcPr>
          <w:p w14:paraId="2A2189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68B9E8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中“配合履职事项清单”的第16项</w:t>
            </w:r>
          </w:p>
        </w:tc>
        <w:tc>
          <w:tcPr>
            <w:tcW w:w="1034" w:type="dxa"/>
            <w:noWrap w:val="0"/>
            <w:vAlign w:val="center"/>
          </w:tcPr>
          <w:p w14:paraId="719E15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E5F7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072F7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A5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B08ECA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48085C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对已备案的设施农业用地开展巡查和全覆盖排查</w:t>
            </w:r>
          </w:p>
        </w:tc>
        <w:tc>
          <w:tcPr>
            <w:tcW w:w="1164" w:type="dxa"/>
            <w:noWrap w:val="0"/>
            <w:vAlign w:val="center"/>
          </w:tcPr>
          <w:p w14:paraId="02C14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3DCF42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中“配合履职事项清单”的第19项</w:t>
            </w:r>
          </w:p>
        </w:tc>
        <w:tc>
          <w:tcPr>
            <w:tcW w:w="1034" w:type="dxa"/>
            <w:noWrap w:val="0"/>
            <w:vAlign w:val="center"/>
          </w:tcPr>
          <w:p w14:paraId="3DE013C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88877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737BA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428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24F119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1ADC4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结合日常工作对动物疫病防控开展巡查</w:t>
            </w:r>
          </w:p>
        </w:tc>
        <w:tc>
          <w:tcPr>
            <w:tcW w:w="1164" w:type="dxa"/>
            <w:noWrap w:val="0"/>
            <w:vAlign w:val="center"/>
          </w:tcPr>
          <w:p w14:paraId="2A98C7D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F17FFE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中“配合履职事项清单”的第20项</w:t>
            </w:r>
          </w:p>
        </w:tc>
        <w:tc>
          <w:tcPr>
            <w:tcW w:w="1034" w:type="dxa"/>
            <w:noWrap w:val="0"/>
            <w:vAlign w:val="center"/>
          </w:tcPr>
          <w:p w14:paraId="441EFD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87A32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C16BD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89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D886196">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EBB52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结合日常工作开展校外培训机构巡查</w:t>
            </w:r>
          </w:p>
        </w:tc>
        <w:tc>
          <w:tcPr>
            <w:tcW w:w="1164" w:type="dxa"/>
            <w:noWrap w:val="0"/>
            <w:vAlign w:val="center"/>
          </w:tcPr>
          <w:p w14:paraId="5455C2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6F6B71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中“配合履职事项清单”的第23项</w:t>
            </w:r>
          </w:p>
        </w:tc>
        <w:tc>
          <w:tcPr>
            <w:tcW w:w="1034" w:type="dxa"/>
            <w:noWrap w:val="0"/>
            <w:vAlign w:val="center"/>
          </w:tcPr>
          <w:p w14:paraId="5E0E2C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4B3C3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A9212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0F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8AE40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53596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配合开展校园周边安全宣传教育、安</w:t>
            </w:r>
          </w:p>
          <w:p w14:paraId="02B1DE5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全检查和隐患排查</w:t>
            </w:r>
          </w:p>
        </w:tc>
        <w:tc>
          <w:tcPr>
            <w:tcW w:w="1164" w:type="dxa"/>
            <w:noWrap w:val="0"/>
            <w:vAlign w:val="center"/>
          </w:tcPr>
          <w:p w14:paraId="2AB3DD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C22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中“配合履职事项清单”的第26项</w:t>
            </w:r>
          </w:p>
        </w:tc>
        <w:tc>
          <w:tcPr>
            <w:tcW w:w="1034" w:type="dxa"/>
            <w:noWrap w:val="0"/>
            <w:vAlign w:val="center"/>
          </w:tcPr>
          <w:p w14:paraId="60625E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29A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796090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02E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38BDE6D">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60A202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结合日常工作进行古树名木巡查</w:t>
            </w:r>
          </w:p>
        </w:tc>
        <w:tc>
          <w:tcPr>
            <w:tcW w:w="1164" w:type="dxa"/>
            <w:noWrap w:val="0"/>
            <w:vAlign w:val="center"/>
          </w:tcPr>
          <w:p w14:paraId="4C6BC8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72CD0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中“配合履职事项清单”的第28项</w:t>
            </w:r>
          </w:p>
        </w:tc>
        <w:tc>
          <w:tcPr>
            <w:tcW w:w="1034" w:type="dxa"/>
            <w:noWrap w:val="0"/>
            <w:vAlign w:val="center"/>
          </w:tcPr>
          <w:p w14:paraId="731D11B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357C1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1178D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694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2D74D7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D327AA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结合日常工作开展耕地巡查、卫片图斑核</w:t>
            </w:r>
          </w:p>
          <w:p w14:paraId="245C899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查。</w:t>
            </w:r>
          </w:p>
        </w:tc>
        <w:tc>
          <w:tcPr>
            <w:tcW w:w="1164" w:type="dxa"/>
            <w:noWrap w:val="0"/>
            <w:vAlign w:val="center"/>
          </w:tcPr>
          <w:p w14:paraId="6C7023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9579D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中“配合履职事项清单”的第31项</w:t>
            </w:r>
          </w:p>
        </w:tc>
        <w:tc>
          <w:tcPr>
            <w:tcW w:w="1034" w:type="dxa"/>
            <w:noWrap w:val="0"/>
            <w:vAlign w:val="center"/>
          </w:tcPr>
          <w:p w14:paraId="75A83E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5630BD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D405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35F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29CEA5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37A16F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结合日常工作开展取用水日常检查</w:t>
            </w:r>
          </w:p>
        </w:tc>
        <w:tc>
          <w:tcPr>
            <w:tcW w:w="1164" w:type="dxa"/>
            <w:noWrap w:val="0"/>
            <w:vAlign w:val="center"/>
          </w:tcPr>
          <w:p w14:paraId="04E11A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1219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中“配合履职事项清单”的第34项</w:t>
            </w:r>
          </w:p>
        </w:tc>
        <w:tc>
          <w:tcPr>
            <w:tcW w:w="1034" w:type="dxa"/>
            <w:noWrap w:val="0"/>
            <w:vAlign w:val="center"/>
          </w:tcPr>
          <w:p w14:paraId="2BA8A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6D465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99AC9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6A6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5EFACB">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90DD00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对农村污水、农村黑臭水体、入河排</w:t>
            </w:r>
          </w:p>
          <w:p w14:paraId="216A1EB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污口等进行日常摸排巡查</w:t>
            </w:r>
          </w:p>
        </w:tc>
        <w:tc>
          <w:tcPr>
            <w:tcW w:w="1164" w:type="dxa"/>
            <w:noWrap w:val="0"/>
            <w:vAlign w:val="center"/>
          </w:tcPr>
          <w:p w14:paraId="369AD8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126B8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中“配合履职事项清单”的第39项</w:t>
            </w:r>
          </w:p>
        </w:tc>
        <w:tc>
          <w:tcPr>
            <w:tcW w:w="1034" w:type="dxa"/>
            <w:noWrap w:val="0"/>
            <w:vAlign w:val="center"/>
          </w:tcPr>
          <w:p w14:paraId="566CDA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9F58B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9AB71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F5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6A1AE1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D633C9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结合日常工作开展固体废物污染日常巡查</w:t>
            </w:r>
          </w:p>
        </w:tc>
        <w:tc>
          <w:tcPr>
            <w:tcW w:w="1164" w:type="dxa"/>
            <w:noWrap w:val="0"/>
            <w:vAlign w:val="center"/>
          </w:tcPr>
          <w:p w14:paraId="73641B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78887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中“配合履职事项清单”的第40项</w:t>
            </w:r>
          </w:p>
        </w:tc>
        <w:tc>
          <w:tcPr>
            <w:tcW w:w="1034" w:type="dxa"/>
            <w:noWrap w:val="0"/>
            <w:vAlign w:val="center"/>
          </w:tcPr>
          <w:p w14:paraId="26B627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8E347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B91C1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BBB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BF2D70">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96FD5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结合日常工作对扬尘（施工、道路）等大气污染源开展巡查</w:t>
            </w:r>
          </w:p>
        </w:tc>
        <w:tc>
          <w:tcPr>
            <w:tcW w:w="1164" w:type="dxa"/>
            <w:noWrap w:val="0"/>
            <w:vAlign w:val="center"/>
          </w:tcPr>
          <w:p w14:paraId="0E95E6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5CC7A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中“配合履职事项清单”的第41项</w:t>
            </w:r>
          </w:p>
        </w:tc>
        <w:tc>
          <w:tcPr>
            <w:tcW w:w="1034" w:type="dxa"/>
            <w:noWrap w:val="0"/>
            <w:vAlign w:val="center"/>
          </w:tcPr>
          <w:p w14:paraId="74A9285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EAF9F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57C2A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15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8D8F9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AD6E81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结合日常工作对土壤污染防治开展巡查</w:t>
            </w:r>
          </w:p>
        </w:tc>
        <w:tc>
          <w:tcPr>
            <w:tcW w:w="1164" w:type="dxa"/>
            <w:noWrap w:val="0"/>
            <w:vAlign w:val="center"/>
          </w:tcPr>
          <w:p w14:paraId="397D5A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73C1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中“配合履职事项清单”的第42项</w:t>
            </w:r>
          </w:p>
        </w:tc>
        <w:tc>
          <w:tcPr>
            <w:tcW w:w="1034" w:type="dxa"/>
            <w:noWrap w:val="0"/>
            <w:vAlign w:val="center"/>
          </w:tcPr>
          <w:p w14:paraId="284F8F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E9E51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C5915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B41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492D65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6EBE4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结合日常工作开展噪声污染防治日常巡查</w:t>
            </w:r>
          </w:p>
        </w:tc>
        <w:tc>
          <w:tcPr>
            <w:tcW w:w="1164" w:type="dxa"/>
            <w:noWrap w:val="0"/>
            <w:vAlign w:val="center"/>
          </w:tcPr>
          <w:p w14:paraId="1582F8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F52DE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中“配合履职事项清单”的第43项</w:t>
            </w:r>
          </w:p>
        </w:tc>
        <w:tc>
          <w:tcPr>
            <w:tcW w:w="1034" w:type="dxa"/>
            <w:noWrap w:val="0"/>
            <w:vAlign w:val="center"/>
          </w:tcPr>
          <w:p w14:paraId="3DCCF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851C9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C1D5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4862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7" w:hRule="atLeast"/>
          <w:jc w:val="center"/>
        </w:trPr>
        <w:tc>
          <w:tcPr>
            <w:tcW w:w="494" w:type="dxa"/>
            <w:noWrap w:val="0"/>
            <w:vAlign w:val="center"/>
          </w:tcPr>
          <w:p w14:paraId="4A3F771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10054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对畜禽规模养殖污染防治开展排查</w:t>
            </w:r>
          </w:p>
        </w:tc>
        <w:tc>
          <w:tcPr>
            <w:tcW w:w="1164" w:type="dxa"/>
            <w:noWrap w:val="0"/>
            <w:vAlign w:val="center"/>
          </w:tcPr>
          <w:p w14:paraId="0B50D4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940D2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中“配合履职事项清单”的第45项</w:t>
            </w:r>
          </w:p>
        </w:tc>
        <w:tc>
          <w:tcPr>
            <w:tcW w:w="1034" w:type="dxa"/>
            <w:noWrap w:val="0"/>
            <w:vAlign w:val="center"/>
          </w:tcPr>
          <w:p w14:paraId="541E7D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DF108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85E6A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8EC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B4D7F0">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0BFF68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开展房屋结构、外墙安全及地灾点房屋日常检查、巡查</w:t>
            </w:r>
          </w:p>
        </w:tc>
        <w:tc>
          <w:tcPr>
            <w:tcW w:w="1164" w:type="dxa"/>
            <w:noWrap w:val="0"/>
            <w:vAlign w:val="center"/>
          </w:tcPr>
          <w:p w14:paraId="5B0148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5496ED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中“配合履职事项清单”的第49项</w:t>
            </w:r>
          </w:p>
        </w:tc>
        <w:tc>
          <w:tcPr>
            <w:tcW w:w="1034" w:type="dxa"/>
            <w:noWrap w:val="0"/>
            <w:vAlign w:val="center"/>
          </w:tcPr>
          <w:p w14:paraId="4350ED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E971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5445A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AD2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F34A64C">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94D480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结合日常工作开展“两违”（ 违法用地、违</w:t>
            </w:r>
          </w:p>
          <w:p w14:paraId="2E807AB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法建设）巡查</w:t>
            </w:r>
          </w:p>
        </w:tc>
        <w:tc>
          <w:tcPr>
            <w:tcW w:w="1164" w:type="dxa"/>
            <w:noWrap w:val="0"/>
            <w:vAlign w:val="center"/>
          </w:tcPr>
          <w:p w14:paraId="5E2E5A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8A96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中“配合履职事项清单”的第50项</w:t>
            </w:r>
          </w:p>
        </w:tc>
        <w:tc>
          <w:tcPr>
            <w:tcW w:w="1034" w:type="dxa"/>
            <w:noWrap w:val="0"/>
            <w:vAlign w:val="center"/>
          </w:tcPr>
          <w:p w14:paraId="792446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73C53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5280F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EF8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85D574C">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31C4DD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ascii="方正仿宋_GBK" w:hAnsi="方正仿宋_GBK" w:eastAsia="方正仿宋_GBK" w:cs="方正仿宋_GBK"/>
                <w:color w:val="auto"/>
                <w:kern w:val="0"/>
                <w:sz w:val="24"/>
                <w:szCs w:val="24"/>
                <w:lang w:val="en-US" w:eastAsia="zh-CN" w:bidi="ar"/>
              </w:rPr>
              <w:t>配合做好住宅电梯的隐患排查</w:t>
            </w:r>
          </w:p>
        </w:tc>
        <w:tc>
          <w:tcPr>
            <w:tcW w:w="1164" w:type="dxa"/>
            <w:shd w:val="clear" w:color="auto" w:fill="auto"/>
            <w:noWrap w:val="0"/>
            <w:vAlign w:val="center"/>
          </w:tcPr>
          <w:p w14:paraId="2FE446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shd w:val="clear" w:color="auto" w:fill="auto"/>
            <w:noWrap w:val="0"/>
            <w:vAlign w:val="center"/>
          </w:tcPr>
          <w:p w14:paraId="049795E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中“配合履职事项清单”的第51项</w:t>
            </w:r>
          </w:p>
        </w:tc>
        <w:tc>
          <w:tcPr>
            <w:tcW w:w="1034" w:type="dxa"/>
            <w:shd w:val="clear" w:color="auto" w:fill="auto"/>
            <w:noWrap w:val="0"/>
            <w:vAlign w:val="center"/>
          </w:tcPr>
          <w:p w14:paraId="79A8AFC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shd w:val="clear" w:color="auto" w:fill="auto"/>
            <w:noWrap w:val="0"/>
            <w:vAlign w:val="center"/>
          </w:tcPr>
          <w:p w14:paraId="5EAD998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shd w:val="clear" w:color="auto" w:fill="auto"/>
            <w:noWrap w:val="0"/>
            <w:vAlign w:val="center"/>
          </w:tcPr>
          <w:p w14:paraId="46818855">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eastAsia="zh-CN"/>
              </w:rPr>
              <w:t>配合履职事项</w:t>
            </w:r>
          </w:p>
        </w:tc>
      </w:tr>
      <w:tr w14:paraId="1E39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773FAE9">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FBDF4A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配合开展寄递行业联合巡查</w:t>
            </w:r>
          </w:p>
        </w:tc>
        <w:tc>
          <w:tcPr>
            <w:tcW w:w="1164" w:type="dxa"/>
            <w:noWrap w:val="0"/>
            <w:vAlign w:val="center"/>
          </w:tcPr>
          <w:p w14:paraId="38A7D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C6D93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中“配合履职事项清单”的第56项</w:t>
            </w:r>
          </w:p>
        </w:tc>
        <w:tc>
          <w:tcPr>
            <w:tcW w:w="1034" w:type="dxa"/>
            <w:noWrap w:val="0"/>
            <w:vAlign w:val="center"/>
          </w:tcPr>
          <w:p w14:paraId="72ED6F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2DC24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4FF36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F3F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11BE9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BC7CE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结合日常工作开展文物保护巡查</w:t>
            </w:r>
          </w:p>
        </w:tc>
        <w:tc>
          <w:tcPr>
            <w:tcW w:w="1164" w:type="dxa"/>
            <w:noWrap w:val="0"/>
            <w:vAlign w:val="center"/>
          </w:tcPr>
          <w:p w14:paraId="24D7C5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726F3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中“配合履职事项清单”的第58项</w:t>
            </w:r>
          </w:p>
        </w:tc>
        <w:tc>
          <w:tcPr>
            <w:tcW w:w="1034" w:type="dxa"/>
            <w:noWrap w:val="0"/>
            <w:vAlign w:val="center"/>
          </w:tcPr>
          <w:p w14:paraId="4CE1B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92CFF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F1831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C8D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705E7F0">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8DB52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配合对民宿行业治安、消防等各项安全状况开展日常巡查</w:t>
            </w:r>
          </w:p>
        </w:tc>
        <w:tc>
          <w:tcPr>
            <w:tcW w:w="1164" w:type="dxa"/>
            <w:noWrap w:val="0"/>
            <w:vAlign w:val="center"/>
          </w:tcPr>
          <w:p w14:paraId="3DECE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B57C7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中“配合履职事项清单”的第59项</w:t>
            </w:r>
          </w:p>
        </w:tc>
        <w:tc>
          <w:tcPr>
            <w:tcW w:w="1034" w:type="dxa"/>
            <w:noWrap w:val="0"/>
            <w:vAlign w:val="center"/>
          </w:tcPr>
          <w:p w14:paraId="2CB4C2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D24B0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6C2EC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3CC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96019A5">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149B99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结合日常工作开展充电基础设施安全巡查</w:t>
            </w:r>
          </w:p>
        </w:tc>
        <w:tc>
          <w:tcPr>
            <w:tcW w:w="1164" w:type="dxa"/>
            <w:noWrap w:val="0"/>
            <w:vAlign w:val="center"/>
          </w:tcPr>
          <w:p w14:paraId="6D27DA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4036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中“配合履职事项清单”的第62项</w:t>
            </w:r>
          </w:p>
        </w:tc>
        <w:tc>
          <w:tcPr>
            <w:tcW w:w="1034" w:type="dxa"/>
            <w:noWrap w:val="0"/>
            <w:vAlign w:val="center"/>
          </w:tcPr>
          <w:p w14:paraId="168AFA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8A3B8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98AFE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C0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7C4F821">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CA80F2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结合日常工作开展电动车“飞线充电”巡查</w:t>
            </w:r>
          </w:p>
        </w:tc>
        <w:tc>
          <w:tcPr>
            <w:tcW w:w="1164" w:type="dxa"/>
            <w:noWrap w:val="0"/>
            <w:vAlign w:val="center"/>
          </w:tcPr>
          <w:p w14:paraId="4983B8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3C9CD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中“配合履职事项清单”的第63项</w:t>
            </w:r>
          </w:p>
        </w:tc>
        <w:tc>
          <w:tcPr>
            <w:tcW w:w="1034" w:type="dxa"/>
            <w:noWrap w:val="0"/>
            <w:vAlign w:val="center"/>
          </w:tcPr>
          <w:p w14:paraId="5BFEDC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D7B0A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567C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2A7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74ABE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760471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配合开展燃气安全工作督导、检查和安全隐患排查</w:t>
            </w:r>
          </w:p>
        </w:tc>
        <w:tc>
          <w:tcPr>
            <w:tcW w:w="1164" w:type="dxa"/>
            <w:noWrap w:val="0"/>
            <w:vAlign w:val="center"/>
          </w:tcPr>
          <w:p w14:paraId="21A98E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D2A0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中“配合履职事项清单”的第65项</w:t>
            </w:r>
          </w:p>
        </w:tc>
        <w:tc>
          <w:tcPr>
            <w:tcW w:w="1034" w:type="dxa"/>
            <w:noWrap w:val="0"/>
            <w:vAlign w:val="center"/>
          </w:tcPr>
          <w:p w14:paraId="6676ED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361B3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36F25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3B3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4D621F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DFA232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结合日常工作开展危化、粉尘涉爆等安全隐患排查</w:t>
            </w:r>
          </w:p>
        </w:tc>
        <w:tc>
          <w:tcPr>
            <w:tcW w:w="1164" w:type="dxa"/>
            <w:noWrap w:val="0"/>
            <w:vAlign w:val="center"/>
          </w:tcPr>
          <w:p w14:paraId="0B473E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8EE5B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中“配合履职事项清单”的第66项</w:t>
            </w:r>
          </w:p>
        </w:tc>
        <w:tc>
          <w:tcPr>
            <w:tcW w:w="1034" w:type="dxa"/>
            <w:noWrap w:val="0"/>
            <w:vAlign w:val="center"/>
          </w:tcPr>
          <w:p w14:paraId="568779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66EA7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2E3BB5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26A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8A099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186EAE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配合开展烟花爆竹非法生产、经营、储存行为的巡查排查</w:t>
            </w:r>
          </w:p>
        </w:tc>
        <w:tc>
          <w:tcPr>
            <w:tcW w:w="1164" w:type="dxa"/>
            <w:noWrap w:val="0"/>
            <w:vAlign w:val="center"/>
          </w:tcPr>
          <w:p w14:paraId="42CEBA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35FE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中“配合履职事项清单”的第67项</w:t>
            </w:r>
          </w:p>
        </w:tc>
        <w:tc>
          <w:tcPr>
            <w:tcW w:w="1034" w:type="dxa"/>
            <w:noWrap w:val="0"/>
            <w:vAlign w:val="center"/>
          </w:tcPr>
          <w:p w14:paraId="0CFF79D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FE86B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5933AE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734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3011FE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7550683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配合开展有限空间作业安全摸排</w:t>
            </w:r>
          </w:p>
        </w:tc>
        <w:tc>
          <w:tcPr>
            <w:tcW w:w="1164" w:type="dxa"/>
            <w:shd w:val="clear" w:color="auto" w:fill="auto"/>
            <w:noWrap w:val="0"/>
            <w:vAlign w:val="center"/>
          </w:tcPr>
          <w:p w14:paraId="327D2F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D5061C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中“配合履职事项清单”的第71项</w:t>
            </w:r>
          </w:p>
        </w:tc>
        <w:tc>
          <w:tcPr>
            <w:tcW w:w="1034" w:type="dxa"/>
            <w:noWrap w:val="0"/>
            <w:vAlign w:val="center"/>
          </w:tcPr>
          <w:p w14:paraId="696C2DF5">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9A5957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E2F020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6B8E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C2D4012">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7CF3612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方正仿宋_GBK" w:hAnsi="方正仿宋_GBK" w:eastAsia="方正仿宋_GBK" w:cs="方正仿宋_GBK"/>
                <w:color w:val="auto"/>
                <w:kern w:val="0"/>
                <w:sz w:val="24"/>
                <w:szCs w:val="24"/>
                <w:lang w:val="en-US" w:eastAsia="zh-CN" w:bidi="ar"/>
              </w:rPr>
            </w:pPr>
            <w:r>
              <w:rPr>
                <w:rFonts w:hint="eastAsia" w:ascii="Times New Roman" w:hAnsi="Times New Roman" w:eastAsia="方正仿宋简体" w:cs="Times New Roman"/>
                <w:color w:val="auto"/>
                <w:kern w:val="2"/>
                <w:sz w:val="24"/>
                <w:szCs w:val="24"/>
                <w:lang w:val="en-US" w:eastAsia="zh-CN" w:bidi="ar-SA"/>
              </w:rPr>
              <w:t>涉及公共卫生事件（含传染病防控）时，加强人员追踪，摸排人员往来情况</w:t>
            </w:r>
          </w:p>
        </w:tc>
        <w:tc>
          <w:tcPr>
            <w:tcW w:w="1164" w:type="dxa"/>
            <w:shd w:val="clear" w:color="auto" w:fill="auto"/>
            <w:noWrap w:val="0"/>
            <w:vAlign w:val="center"/>
          </w:tcPr>
          <w:p w14:paraId="630D0A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15EA0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中“配合履职事项清单”的第72项</w:t>
            </w:r>
          </w:p>
        </w:tc>
        <w:tc>
          <w:tcPr>
            <w:tcW w:w="1034" w:type="dxa"/>
            <w:noWrap w:val="0"/>
            <w:vAlign w:val="center"/>
          </w:tcPr>
          <w:p w14:paraId="63FE8D5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50689C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C57068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BC9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A201EB9">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11E3479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对重大突发事件、热点敏感问题、新闻舆情开展前期调查核实</w:t>
            </w:r>
          </w:p>
        </w:tc>
        <w:tc>
          <w:tcPr>
            <w:tcW w:w="1164" w:type="dxa"/>
            <w:shd w:val="clear" w:color="auto" w:fill="auto"/>
            <w:noWrap w:val="0"/>
            <w:vAlign w:val="center"/>
          </w:tcPr>
          <w:p w14:paraId="537EAB6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70C7411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中“配合履职事项清单”的第73项</w:t>
            </w:r>
          </w:p>
        </w:tc>
        <w:tc>
          <w:tcPr>
            <w:tcW w:w="1034" w:type="dxa"/>
            <w:noWrap w:val="0"/>
            <w:vAlign w:val="center"/>
          </w:tcPr>
          <w:p w14:paraId="4500331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97693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D1A7E7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347F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0824EB4">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09045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结合日常工作对传销、违规直销开展巡查</w:t>
            </w:r>
          </w:p>
        </w:tc>
        <w:tc>
          <w:tcPr>
            <w:tcW w:w="1164" w:type="dxa"/>
            <w:noWrap w:val="0"/>
            <w:vAlign w:val="center"/>
          </w:tcPr>
          <w:p w14:paraId="6C20AC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10080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江陵镇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中“配合履职事项清单”的第78项</w:t>
            </w:r>
          </w:p>
        </w:tc>
        <w:tc>
          <w:tcPr>
            <w:tcW w:w="1034" w:type="dxa"/>
            <w:noWrap w:val="0"/>
            <w:vAlign w:val="center"/>
          </w:tcPr>
          <w:p w14:paraId="5AA55C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3D884E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江陵镇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F65A4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bl>
    <w:p w14:paraId="2A7354DE">
      <w:pPr>
        <w:ind w:firstLine="440" w:firstLineChars="100"/>
        <w:rPr>
          <w:rFonts w:hint="eastAsia" w:ascii="Times New Roman" w:hAnsi="Times New Roman" w:eastAsia="方正小标宋简体"/>
          <w:sz w:val="44"/>
          <w:szCs w:val="44"/>
          <w:lang w:val="en-US" w:eastAsia="zh-CN"/>
        </w:rPr>
      </w:pPr>
      <w:r>
        <w:rPr>
          <w:rFonts w:hint="eastAsia" w:ascii="Times New Roman" w:hAnsi="Times New Roman" w:eastAsia="方正小标宋简体"/>
          <w:sz w:val="44"/>
          <w:szCs w:val="44"/>
          <w:lang w:val="en-US" w:eastAsia="zh-CN"/>
        </w:rPr>
        <w:t xml:space="preserve"> </w:t>
      </w:r>
    </w:p>
    <w:p w14:paraId="6019048D">
      <w:pPr>
        <w:ind w:firstLine="480" w:firstLineChars="200"/>
        <w:rPr>
          <w:rFonts w:hint="eastAsia" w:ascii="Times New Roman" w:hAnsi="Times New Roman" w:eastAsia="方正小标宋简体"/>
          <w:color w:val="auto"/>
          <w:sz w:val="44"/>
          <w:szCs w:val="44"/>
          <w:lang w:val="en-US" w:eastAsia="zh-CN"/>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p w14:paraId="32E7C9B9">
      <w:pPr>
        <w:rPr>
          <w:rFonts w:hint="default" w:ascii="Times New Roman" w:hAnsi="Times New Roman" w:eastAsia="方正小标宋简体"/>
          <w:sz w:val="44"/>
          <w:szCs w:val="44"/>
          <w:lang w:val="en-US" w:eastAsia="zh-CN"/>
        </w:rPr>
      </w:pPr>
    </w:p>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BAC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2F0DA">
                          <w:pPr>
                            <w:pStyle w:val="3"/>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A2F0DA">
                    <w:pPr>
                      <w:pStyle w:val="3"/>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5C564">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8FA6D"/>
    <w:multiLevelType w:val="singleLevel"/>
    <w:tmpl w:val="6168FA6D"/>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631D63"/>
    <w:rsid w:val="01E029B6"/>
    <w:rsid w:val="09770117"/>
    <w:rsid w:val="0EBB1860"/>
    <w:rsid w:val="14CD42DB"/>
    <w:rsid w:val="16401DA0"/>
    <w:rsid w:val="287B369D"/>
    <w:rsid w:val="2B7042D3"/>
    <w:rsid w:val="2E631D63"/>
    <w:rsid w:val="40AF329F"/>
    <w:rsid w:val="43DC60DF"/>
    <w:rsid w:val="51E15B62"/>
    <w:rsid w:val="548B0310"/>
    <w:rsid w:val="57AA23E0"/>
    <w:rsid w:val="59FC6843"/>
    <w:rsid w:val="6C333BC4"/>
    <w:rsid w:val="79B04BA9"/>
    <w:rsid w:val="7B231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basedOn w:val="5"/>
    <w:qFormat/>
    <w:uiPriority w:val="0"/>
    <w:rPr>
      <w:rFonts w:ascii="Times New Roman" w:hAnsi="Times New Roman"/>
    </w:rPr>
    <w:tblPr>
      <w:tblCellMar>
        <w:left w:w="0" w:type="dxa"/>
        <w:right w:w="0" w:type="dxa"/>
      </w:tblCellMar>
    </w:tblPr>
  </w:style>
  <w:style w:type="paragraph" w:customStyle="1" w:styleId="8">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11522</Words>
  <Characters>11642</Characters>
  <Lines>0</Lines>
  <Paragraphs>0</Paragraphs>
  <TotalTime>0</TotalTime>
  <ScaleCrop>false</ScaleCrop>
  <LinksUpToDate>false</LinksUpToDate>
  <CharactersWithSpaces>11903</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2025-09-01T05:37:00Z</dcterms:created>
  <dc:creator>繁花似锦</dc:creator>
  <cp:lastModifiedBy>繁花似锦</cp:lastModifiedBy>
  <dcterms:modified xsi:type="dcterms:W3CDTF">2025-10-09T01:50:40Z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C178203690E543E1B1E91011234189A4_13</vt:lpwstr>
  </property>
  <property fmtid="{D5CDD505-2E9C-101B-9397-08002B2CF9AE}" pid="4" name="KSOTemplateDocerSaveRecord">
    <vt:lpwstr>eyJoZGlkIjoiZTBiNzFjYjhjZTQ1MDU0OGIwMDA2ZjM1ZmNjNDgzN2MiLCJ1c2VySWQiOiI0Mjc2NzQwNTgifQ==</vt:lpwstr>
  </property>
</Properties>
</file>